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184" w:rsidRPr="00056925" w:rsidRDefault="00945184" w:rsidP="00945184">
      <w:pPr>
        <w:pStyle w:val="table-heading"/>
        <w:rPr>
          <w:color w:val="00B0F0"/>
        </w:rPr>
      </w:pPr>
      <w:r w:rsidRPr="00056925">
        <w:rPr>
          <w:rStyle w:val="Strong"/>
          <w:color w:val="00B0F0"/>
        </w:rPr>
        <w:t>BRIEF TEXT</w:t>
      </w:r>
    </w:p>
    <w:p w:rsidR="00056925" w:rsidRDefault="00056925" w:rsidP="00056925">
      <w:pPr>
        <w:pStyle w:val="BodyText"/>
        <w:bidi w:val="0"/>
        <w:spacing w:after="240" w:line="360" w:lineRule="auto"/>
        <w:jc w:val="center"/>
        <w:rPr>
          <w:rFonts w:asciiTheme="majorBidi" w:hAnsiTheme="majorBidi" w:cstheme="majorBidi"/>
          <w:b/>
          <w:color w:val="000000"/>
          <w:sz w:val="28"/>
          <w:lang w:val="en-US"/>
        </w:rPr>
      </w:pPr>
      <w:r>
        <w:rPr>
          <w:rFonts w:asciiTheme="majorBidi" w:hAnsiTheme="majorBidi" w:cstheme="majorBidi"/>
          <w:b/>
          <w:color w:val="000000"/>
          <w:sz w:val="28"/>
          <w:lang w:val="en-US"/>
        </w:rPr>
        <w:t>Evaluation of the Effect of Probiotics Compare to Antibiotics in Children with Congenital Obstructive Uropathy</w:t>
      </w:r>
    </w:p>
    <w:p w:rsidR="00945184" w:rsidRDefault="00945184" w:rsidP="00945184">
      <w:pPr>
        <w:pStyle w:val="table-heading"/>
      </w:pPr>
      <w:r>
        <w:rPr>
          <w:rStyle w:val="Strong"/>
        </w:rPr>
        <w:t>Background and Objective</w:t>
      </w:r>
    </w:p>
    <w:p w:rsidR="00B9218F" w:rsidRPr="00B9218F" w:rsidRDefault="00B9218F" w:rsidP="00056925">
      <w:pPr>
        <w:bidi w:val="0"/>
        <w:spacing w:before="240" w:line="360" w:lineRule="auto"/>
        <w:ind w:right="283" w:firstLine="0"/>
        <w:jc w:val="both"/>
        <w:rPr>
          <w:rFonts w:eastAsia="Times New Roman"/>
          <w:szCs w:val="24"/>
        </w:rPr>
      </w:pPr>
      <w:r w:rsidRPr="00B9218F">
        <w:rPr>
          <w:rFonts w:eastAsia="Times New Roman"/>
          <w:szCs w:val="24"/>
        </w:rPr>
        <w:t>Congenital obstructive uropathy</w:t>
      </w:r>
      <w:r>
        <w:rPr>
          <w:rFonts w:eastAsia="Times New Roman"/>
          <w:szCs w:val="24"/>
          <w:lang w:bidi="fa-IR"/>
        </w:rPr>
        <w:t xml:space="preserve"> (COU) </w:t>
      </w:r>
      <w:r w:rsidRPr="00B9218F">
        <w:rPr>
          <w:rFonts w:eastAsia="Times New Roman"/>
          <w:szCs w:val="24"/>
        </w:rPr>
        <w:t>is a heterogeneous group of disorders characterized by structural or functional obstruction of the urinary tract</w:t>
      </w:r>
      <w:r w:rsidR="00CD10B5">
        <w:rPr>
          <w:rFonts w:eastAsia="Times New Roman"/>
          <w:szCs w:val="24"/>
        </w:rPr>
        <w:t>,</w:t>
      </w:r>
      <w:r w:rsidRPr="00B9218F">
        <w:rPr>
          <w:rFonts w:eastAsia="Times New Roman"/>
          <w:szCs w:val="24"/>
        </w:rPr>
        <w:t xml:space="preserve"> </w:t>
      </w:r>
      <w:r>
        <w:rPr>
          <w:rFonts w:eastAsia="Times New Roman"/>
          <w:szCs w:val="24"/>
        </w:rPr>
        <w:t xml:space="preserve">which </w:t>
      </w:r>
      <w:r w:rsidRPr="00B9218F">
        <w:rPr>
          <w:rFonts w:eastAsia="Times New Roman"/>
          <w:szCs w:val="24"/>
        </w:rPr>
        <w:t xml:space="preserve">classified by the site of obstruction. </w:t>
      </w:r>
      <w:r>
        <w:rPr>
          <w:rFonts w:eastAsia="Times New Roman"/>
          <w:szCs w:val="24"/>
          <w:lang w:bidi="fa-IR"/>
        </w:rPr>
        <w:t>COU</w:t>
      </w:r>
      <w:r w:rsidRPr="00B9218F">
        <w:rPr>
          <w:rFonts w:eastAsia="Times New Roman"/>
          <w:szCs w:val="24"/>
        </w:rPr>
        <w:t xml:space="preserve"> can occur as an isolated disease or as part of a syndrome with extra</w:t>
      </w:r>
      <w:r>
        <w:rPr>
          <w:rFonts w:eastAsia="Times New Roman"/>
          <w:szCs w:val="24"/>
        </w:rPr>
        <w:t xml:space="preserve"> </w:t>
      </w:r>
      <w:r w:rsidRPr="00B9218F">
        <w:rPr>
          <w:rFonts w:eastAsia="Times New Roman"/>
          <w:szCs w:val="24"/>
        </w:rPr>
        <w:t xml:space="preserve">renal manifestations, and in some cases, obstruction occurs at multiple levels, even one side, in the same patient (1). Obstructive uropathy is a common condition and a common finding on prenatal ultrasound (2). Systemic disease disorders </w:t>
      </w:r>
      <w:r>
        <w:rPr>
          <w:rFonts w:eastAsia="Times New Roman"/>
          <w:szCs w:val="24"/>
        </w:rPr>
        <w:t xml:space="preserve">observed </w:t>
      </w:r>
      <w:r w:rsidRPr="00B9218F">
        <w:rPr>
          <w:rFonts w:eastAsia="Times New Roman"/>
          <w:szCs w:val="24"/>
        </w:rPr>
        <w:t>in 0.1% to 0.92% of pregnancies, with hydronephrosis being the most common anomaly (3</w:t>
      </w:r>
      <w:r>
        <w:rPr>
          <w:rFonts w:eastAsia="Times New Roman"/>
          <w:szCs w:val="24"/>
        </w:rPr>
        <w:t>, 4</w:t>
      </w:r>
      <w:r w:rsidRPr="00B9218F">
        <w:rPr>
          <w:rFonts w:eastAsia="Times New Roman"/>
          <w:szCs w:val="24"/>
        </w:rPr>
        <w:t>).</w:t>
      </w:r>
      <w:r w:rsidR="009C4AC7">
        <w:rPr>
          <w:rFonts w:eastAsia="Times New Roman"/>
          <w:szCs w:val="24"/>
        </w:rPr>
        <w:t xml:space="preserve"> </w:t>
      </w:r>
      <w:r w:rsidR="00056925">
        <w:rPr>
          <w:rFonts w:eastAsia="Times New Roman"/>
          <w:szCs w:val="24"/>
        </w:rPr>
        <w:t xml:space="preserve">… (5, 6)… (7). </w:t>
      </w:r>
      <w:r>
        <w:rPr>
          <w:rFonts w:eastAsia="Times New Roman"/>
          <w:szCs w:val="24"/>
        </w:rPr>
        <w:t>A</w:t>
      </w:r>
      <w:r w:rsidRPr="00B9218F">
        <w:rPr>
          <w:rFonts w:eastAsia="Times New Roman"/>
          <w:szCs w:val="24"/>
        </w:rPr>
        <w:t>dministration of antibiotics as prophylaxis, which is currently the most popular</w:t>
      </w:r>
      <w:r>
        <w:rPr>
          <w:rFonts w:eastAsia="Times New Roman"/>
          <w:szCs w:val="24"/>
        </w:rPr>
        <w:t>, is o</w:t>
      </w:r>
      <w:r w:rsidRPr="00B9218F">
        <w:rPr>
          <w:rFonts w:eastAsia="Times New Roman"/>
          <w:szCs w:val="24"/>
        </w:rPr>
        <w:t xml:space="preserve">ne of </w:t>
      </w:r>
      <w:r>
        <w:rPr>
          <w:rFonts w:eastAsia="Times New Roman"/>
          <w:szCs w:val="24"/>
        </w:rPr>
        <w:t>the main</w:t>
      </w:r>
      <w:r w:rsidRPr="00B9218F">
        <w:rPr>
          <w:rFonts w:eastAsia="Times New Roman"/>
          <w:szCs w:val="24"/>
        </w:rPr>
        <w:t xml:space="preserve"> treatment methods. However, </w:t>
      </w:r>
      <w:r>
        <w:rPr>
          <w:rFonts w:eastAsia="Times New Roman"/>
          <w:szCs w:val="24"/>
        </w:rPr>
        <w:t>s</w:t>
      </w:r>
      <w:r w:rsidRPr="00B9218F">
        <w:rPr>
          <w:rFonts w:eastAsia="Times New Roman"/>
          <w:szCs w:val="24"/>
        </w:rPr>
        <w:t xml:space="preserve">ome </w:t>
      </w:r>
      <w:r>
        <w:rPr>
          <w:rFonts w:eastAsia="Times New Roman"/>
          <w:szCs w:val="24"/>
        </w:rPr>
        <w:t xml:space="preserve">evidence </w:t>
      </w:r>
      <w:r w:rsidRPr="00B9218F">
        <w:rPr>
          <w:rFonts w:eastAsia="Times New Roman"/>
          <w:szCs w:val="24"/>
        </w:rPr>
        <w:t>recommend antibiotic prophylaxis, while others do not recommend treatment without prophylaxis due to bacterial resistance resulting from this antibiotic prophylaxis (</w:t>
      </w:r>
      <w:r w:rsidR="00056925">
        <w:rPr>
          <w:rFonts w:eastAsia="Times New Roman"/>
          <w:szCs w:val="24"/>
        </w:rPr>
        <w:t>2</w:t>
      </w:r>
      <w:r w:rsidRPr="00B9218F">
        <w:rPr>
          <w:rFonts w:eastAsia="Times New Roman"/>
          <w:szCs w:val="24"/>
        </w:rPr>
        <w:t xml:space="preserve">, </w:t>
      </w:r>
      <w:r w:rsidR="00056925">
        <w:rPr>
          <w:rFonts w:eastAsia="Times New Roman"/>
          <w:szCs w:val="24"/>
        </w:rPr>
        <w:t>8</w:t>
      </w:r>
      <w:r w:rsidRPr="00B9218F">
        <w:rPr>
          <w:rFonts w:eastAsia="Times New Roman"/>
          <w:szCs w:val="24"/>
        </w:rPr>
        <w:t>).</w:t>
      </w:r>
      <w:r w:rsidR="00056925">
        <w:rPr>
          <w:rFonts w:eastAsia="Times New Roman"/>
          <w:szCs w:val="24"/>
        </w:rPr>
        <w:t xml:space="preserve"> </w:t>
      </w:r>
      <w:proofErr w:type="gramStart"/>
      <w:r w:rsidR="00056925">
        <w:rPr>
          <w:rFonts w:eastAsia="Times New Roman"/>
          <w:szCs w:val="24"/>
        </w:rPr>
        <w:t>…(</w:t>
      </w:r>
      <w:proofErr w:type="gramEnd"/>
      <w:r w:rsidR="00056925">
        <w:rPr>
          <w:rFonts w:eastAsia="Times New Roman"/>
          <w:szCs w:val="24"/>
        </w:rPr>
        <w:t>9)…(10).</w:t>
      </w:r>
      <w:r w:rsidR="009C4AC7">
        <w:rPr>
          <w:rFonts w:eastAsia="Times New Roman"/>
          <w:szCs w:val="24"/>
        </w:rPr>
        <w:t xml:space="preserve"> </w:t>
      </w:r>
      <w:r w:rsidRPr="00B9218F">
        <w:rPr>
          <w:rFonts w:eastAsia="Times New Roman"/>
          <w:szCs w:val="24"/>
        </w:rPr>
        <w:t>Probiotics are living microorganisms that, when administered in sufficient amounts, confer a benefit to the host. Probiotics are widely used in our daily lives. Currently, these microorganisms are widely used in the food industry. Recently, due to their therapeutic benefits, the use of these substances for the treatment of diseases is expanding (1</w:t>
      </w:r>
      <w:r w:rsidR="00056925">
        <w:rPr>
          <w:rFonts w:eastAsia="Times New Roman"/>
          <w:szCs w:val="24"/>
        </w:rPr>
        <w:t>1-</w:t>
      </w:r>
      <w:r w:rsidRPr="00B9218F">
        <w:rPr>
          <w:rFonts w:eastAsia="Times New Roman"/>
          <w:szCs w:val="24"/>
        </w:rPr>
        <w:t>1</w:t>
      </w:r>
      <w:r w:rsidR="00056925">
        <w:rPr>
          <w:rFonts w:eastAsia="Times New Roman"/>
          <w:szCs w:val="24"/>
        </w:rPr>
        <w:t>3</w:t>
      </w:r>
      <w:r w:rsidRPr="00B9218F">
        <w:rPr>
          <w:rFonts w:eastAsia="Times New Roman"/>
          <w:szCs w:val="24"/>
        </w:rPr>
        <w:t>). The aim of the present study was to investigate the effectiveness of probiotics in the prophylactic treatment of patients with congenital obstructive uropathy.</w:t>
      </w:r>
    </w:p>
    <w:p w:rsidR="00945184" w:rsidRDefault="00945184" w:rsidP="00945184">
      <w:pPr>
        <w:bidi w:val="0"/>
        <w:spacing w:before="240" w:line="360" w:lineRule="auto"/>
        <w:ind w:right="283" w:firstLine="0"/>
        <w:jc w:val="both"/>
        <w:rPr>
          <w:rFonts w:eastAsia="Times New Roman"/>
          <w:szCs w:val="24"/>
          <w:rtl/>
        </w:rPr>
      </w:pPr>
      <w:r>
        <w:rPr>
          <w:rStyle w:val="Strong"/>
        </w:rPr>
        <w:t>Materials and Methods</w:t>
      </w:r>
    </w:p>
    <w:p w:rsidR="009C4AC7" w:rsidRDefault="009C4AC7" w:rsidP="00056925">
      <w:pPr>
        <w:bidi w:val="0"/>
        <w:spacing w:before="240" w:line="360" w:lineRule="auto"/>
        <w:ind w:right="283" w:firstLine="0"/>
        <w:jc w:val="both"/>
        <w:rPr>
          <w:rStyle w:val="rynqvb"/>
        </w:rPr>
      </w:pPr>
      <w:r>
        <w:rPr>
          <w:rStyle w:val="rynqvb"/>
          <w:lang w:val="en"/>
        </w:rPr>
        <w:t>This prospective cohort study conducted on children aged 2 months to 5 years with congenital obstructive uropathy referred to the Pediatric Nephrology Clinic of Imam Khomeini Clinic, Hamadan in 2021-2022.</w:t>
      </w:r>
      <w:r w:rsidRPr="009C4AC7">
        <w:rPr>
          <w:rStyle w:val="rynqvb"/>
        </w:rPr>
        <w:t xml:space="preserve"> </w:t>
      </w:r>
      <w:r>
        <w:rPr>
          <w:rStyle w:val="rynqvb"/>
          <w:lang w:val="en"/>
        </w:rPr>
        <w:t>The study protocol approved by the Ethics Committee of Hamadan University of Medical Sciences (IR.UMSHA.REC.1400.4</w:t>
      </w:r>
      <w:r w:rsidR="00056925">
        <w:rPr>
          <w:rStyle w:val="rynqvb"/>
          <w:lang w:val="en"/>
        </w:rPr>
        <w:t>7</w:t>
      </w:r>
      <w:r>
        <w:rPr>
          <w:rStyle w:val="rynqvb"/>
          <w:lang w:val="en"/>
        </w:rPr>
        <w:t>7). 199 affected children who were treated with antibiotic prophylaxis (95 children) or probiotic prophylaxis (104 children) by a specialist based on the existing treatment protocol were included in the study.</w:t>
      </w:r>
      <w:r w:rsidRPr="009C4AC7">
        <w:rPr>
          <w:rStyle w:val="rynqvb"/>
        </w:rPr>
        <w:t xml:space="preserve"> </w:t>
      </w:r>
      <w:r>
        <w:rPr>
          <w:rStyle w:val="rynqvb"/>
          <w:lang w:val="en"/>
        </w:rPr>
        <w:t>The antibiotic used was cephalexin prophylaxis (10 mg per kilogram, once a day at bedtime).</w:t>
      </w:r>
      <w:r w:rsidRPr="009C4AC7">
        <w:rPr>
          <w:rStyle w:val="rynqvb"/>
        </w:rPr>
        <w:t xml:space="preserve"> </w:t>
      </w:r>
      <w:r>
        <w:rPr>
          <w:rStyle w:val="rynqvb"/>
          <w:lang w:val="en"/>
        </w:rPr>
        <w:t xml:space="preserve">The probiotic used was </w:t>
      </w:r>
      <w:proofErr w:type="spellStart"/>
      <w:r>
        <w:rPr>
          <w:rStyle w:val="rynqvb"/>
          <w:lang w:val="en"/>
        </w:rPr>
        <w:t>Yomogi</w:t>
      </w:r>
      <w:proofErr w:type="spellEnd"/>
      <w:r>
        <w:rPr>
          <w:rStyle w:val="rynqvb"/>
          <w:lang w:val="en"/>
        </w:rPr>
        <w:t xml:space="preserve"> probiotic (from </w:t>
      </w:r>
      <w:r>
        <w:rPr>
          <w:rStyle w:val="rynqvb"/>
          <w:lang w:val="en"/>
        </w:rPr>
        <w:lastRenderedPageBreak/>
        <w:t xml:space="preserve">the German company </w:t>
      </w:r>
      <w:proofErr w:type="spellStart"/>
      <w:r>
        <w:rPr>
          <w:rStyle w:val="rynqvb"/>
          <w:lang w:val="en"/>
        </w:rPr>
        <w:t>Irianik</w:t>
      </w:r>
      <w:proofErr w:type="spellEnd"/>
      <w:r>
        <w:rPr>
          <w:rStyle w:val="rynqvb"/>
          <w:lang w:val="en"/>
        </w:rPr>
        <w:t xml:space="preserve"> containing Saccharomyces </w:t>
      </w:r>
      <w:proofErr w:type="spellStart"/>
      <w:r>
        <w:rPr>
          <w:rStyle w:val="rynqvb"/>
          <w:lang w:val="en"/>
        </w:rPr>
        <w:t>boulardii</w:t>
      </w:r>
      <w:proofErr w:type="spellEnd"/>
      <w:r>
        <w:rPr>
          <w:rStyle w:val="rynqvb"/>
          <w:lang w:val="en"/>
        </w:rPr>
        <w:t>, 250 mg capsule at bedtime).</w:t>
      </w:r>
      <w:r w:rsidRPr="009C4AC7">
        <w:rPr>
          <w:rStyle w:val="rynqvb"/>
        </w:rPr>
        <w:t xml:space="preserve"> </w:t>
      </w:r>
      <w:r>
        <w:rPr>
          <w:rStyle w:val="rynqvb"/>
          <w:lang w:val="en"/>
        </w:rPr>
        <w:t>Patients followed for 2 years and underwent complete examination and urine culture monthly according to the common protocol in pediatric nephrology departments.</w:t>
      </w:r>
      <w:r w:rsidRPr="009C4AC7">
        <w:rPr>
          <w:rStyle w:val="rynqvb"/>
        </w:rPr>
        <w:t xml:space="preserve"> </w:t>
      </w:r>
      <w:r w:rsidR="00E37316">
        <w:rPr>
          <w:rStyle w:val="rynqvb"/>
          <w:lang w:val="en"/>
        </w:rPr>
        <w:t xml:space="preserve">Collected </w:t>
      </w:r>
      <w:r>
        <w:rPr>
          <w:rStyle w:val="rynqvb"/>
          <w:lang w:val="en"/>
        </w:rPr>
        <w:t>data included children’s age, gender, severity of uropathy and the affected side, the time of improvement and recurrence of the disease.</w:t>
      </w:r>
      <w:r w:rsidRPr="009C4AC7">
        <w:rPr>
          <w:rStyle w:val="rynqvb"/>
        </w:rPr>
        <w:t xml:space="preserve"> </w:t>
      </w:r>
      <w:r>
        <w:rPr>
          <w:rStyle w:val="rynqvb"/>
          <w:lang w:val="en"/>
        </w:rPr>
        <w:t>The collected data were analyzed using SPSS version 26 software.</w:t>
      </w:r>
      <w:r w:rsidRPr="009C4AC7">
        <w:rPr>
          <w:rStyle w:val="rynqvb"/>
        </w:rPr>
        <w:t xml:space="preserve"> </w:t>
      </w:r>
    </w:p>
    <w:p w:rsidR="00F21F7C" w:rsidRDefault="00F21F7C" w:rsidP="00F21F7C">
      <w:pPr>
        <w:bidi w:val="0"/>
        <w:spacing w:before="240" w:line="360" w:lineRule="auto"/>
        <w:ind w:right="283" w:firstLine="0"/>
        <w:jc w:val="both"/>
        <w:rPr>
          <w:rStyle w:val="rynqvb"/>
        </w:rPr>
      </w:pPr>
      <w:r>
        <w:rPr>
          <w:rStyle w:val="Strong"/>
        </w:rPr>
        <w:t>Results</w:t>
      </w:r>
    </w:p>
    <w:p w:rsidR="009C4AC7" w:rsidRDefault="009C4AC7" w:rsidP="00056925">
      <w:pPr>
        <w:bidi w:val="0"/>
        <w:spacing w:before="240" w:line="360" w:lineRule="auto"/>
        <w:ind w:right="283" w:firstLine="0"/>
        <w:jc w:val="both"/>
        <w:rPr>
          <w:rFonts w:eastAsia="Times New Roman"/>
          <w:szCs w:val="24"/>
        </w:rPr>
      </w:pPr>
      <w:r>
        <w:rPr>
          <w:rStyle w:val="rynqvb"/>
          <w:lang w:val="en"/>
        </w:rPr>
        <w:t xml:space="preserve">During the study period, 236 referred children with COU </w:t>
      </w:r>
      <w:r w:rsidRPr="00F21F7C">
        <w:rPr>
          <w:rFonts w:eastAsia="Times New Roman"/>
          <w:szCs w:val="24"/>
        </w:rPr>
        <w:t>screened</w:t>
      </w:r>
      <w:r>
        <w:rPr>
          <w:rStyle w:val="rynqvb"/>
          <w:lang w:val="en"/>
        </w:rPr>
        <w:t>.</w:t>
      </w:r>
      <w:r>
        <w:rPr>
          <w:rStyle w:val="hwtze"/>
          <w:lang w:val="en"/>
        </w:rPr>
        <w:t xml:space="preserve"> </w:t>
      </w:r>
      <w:r>
        <w:rPr>
          <w:rStyle w:val="rynqvb"/>
          <w:lang w:val="en"/>
        </w:rPr>
        <w:t>Of those, 24 children (15 due to lack of inclusion criteria and 9 due to parental disapproval) were not included in the study.</w:t>
      </w:r>
      <w:r>
        <w:rPr>
          <w:rStyle w:val="hwtze"/>
          <w:lang w:val="en"/>
        </w:rPr>
        <w:t xml:space="preserve"> </w:t>
      </w:r>
      <w:r>
        <w:rPr>
          <w:rStyle w:val="rynqvb"/>
          <w:lang w:val="en"/>
        </w:rPr>
        <w:t xml:space="preserve">Of the 212 included children, 101 children were treated with antibiotic prophylaxis </w:t>
      </w:r>
      <w:r>
        <w:rPr>
          <w:rStyle w:val="rynqvb"/>
        </w:rPr>
        <w:t>and 111</w:t>
      </w:r>
      <w:r>
        <w:rPr>
          <w:rStyle w:val="rynqvb"/>
          <w:lang w:val="en"/>
        </w:rPr>
        <w:t xml:space="preserve"> children treated with </w:t>
      </w:r>
      <w:r w:rsidR="00E37316">
        <w:rPr>
          <w:rStyle w:val="rynqvb"/>
          <w:lang w:val="en"/>
        </w:rPr>
        <w:t>probiotic prophylaxis</w:t>
      </w:r>
      <w:r>
        <w:rPr>
          <w:rStyle w:val="rynqvb"/>
          <w:lang w:val="en"/>
        </w:rPr>
        <w:t>.</w:t>
      </w:r>
      <w:r w:rsidR="00E37316">
        <w:rPr>
          <w:rStyle w:val="rynqvb"/>
          <w:lang w:val="en"/>
        </w:rPr>
        <w:t xml:space="preserve"> </w:t>
      </w:r>
      <w:r>
        <w:rPr>
          <w:rStyle w:val="rynqvb"/>
          <w:lang w:val="en"/>
        </w:rPr>
        <w:t>During the follow-up period, 6 children in the probiotic group and 7 children in the antibiotic group were excluded from the study due to parental unwillingness or failure to return to the clinic.</w:t>
      </w:r>
      <w:r>
        <w:rPr>
          <w:rStyle w:val="hwtze"/>
          <w:lang w:val="en"/>
        </w:rPr>
        <w:t xml:space="preserve"> </w:t>
      </w:r>
      <w:r>
        <w:rPr>
          <w:rStyle w:val="rynqvb"/>
          <w:lang w:val="en"/>
        </w:rPr>
        <w:t>Finally, 95 patients in the probiotic group and 104 patients in the antibiotic group w</w:t>
      </w:r>
      <w:r w:rsidR="00E37316">
        <w:rPr>
          <w:rStyle w:val="rynqvb"/>
          <w:lang w:val="en"/>
        </w:rPr>
        <w:t>ere</w:t>
      </w:r>
      <w:r>
        <w:rPr>
          <w:rStyle w:val="rynqvb"/>
          <w:lang w:val="en"/>
        </w:rPr>
        <w:t xml:space="preserve"> analyzed</w:t>
      </w:r>
      <w:r w:rsidR="00E37316">
        <w:rPr>
          <w:rStyle w:val="rynqvb"/>
          <w:lang w:val="en"/>
        </w:rPr>
        <w:t xml:space="preserve"> </w:t>
      </w:r>
      <w:r w:rsidR="00E37316" w:rsidRPr="00056925">
        <w:rPr>
          <w:rStyle w:val="rynqvb"/>
          <w:b/>
          <w:bCs/>
          <w:lang w:val="en"/>
        </w:rPr>
        <w:t>(Figure</w:t>
      </w:r>
      <w:r w:rsidR="00056925">
        <w:rPr>
          <w:rStyle w:val="rynqvb"/>
          <w:b/>
          <w:bCs/>
          <w:lang w:val="en"/>
        </w:rPr>
        <w:t xml:space="preserve"> </w:t>
      </w:r>
      <w:r w:rsidR="00E37316" w:rsidRPr="00056925">
        <w:rPr>
          <w:rStyle w:val="rynqvb"/>
          <w:b/>
          <w:bCs/>
          <w:lang w:val="en"/>
        </w:rPr>
        <w:t>1)</w:t>
      </w:r>
      <w:r w:rsidRPr="00056925">
        <w:rPr>
          <w:rStyle w:val="rynqvb"/>
          <w:b/>
          <w:bCs/>
          <w:lang w:val="en"/>
        </w:rPr>
        <w:t>.</w:t>
      </w:r>
      <w:r>
        <w:rPr>
          <w:rStyle w:val="hwtze"/>
          <w:lang w:val="en"/>
        </w:rPr>
        <w:t xml:space="preserve"> </w:t>
      </w:r>
      <w:r>
        <w:rPr>
          <w:rStyle w:val="rynqvb"/>
          <w:lang w:val="en"/>
        </w:rPr>
        <w:t xml:space="preserve">There was no significant difference between the two groups regarding the age of the children and their gender (P-value &gt; 0.05). </w:t>
      </w:r>
      <w:r w:rsidR="00E37316">
        <w:rPr>
          <w:rStyle w:val="rynqvb"/>
          <w:lang w:val="en"/>
        </w:rPr>
        <w:t>M</w:t>
      </w:r>
      <w:r>
        <w:rPr>
          <w:rStyle w:val="rynqvb"/>
          <w:lang w:val="en"/>
        </w:rPr>
        <w:t xml:space="preserve">ost of the children under study in both groups had mild form of </w:t>
      </w:r>
      <w:r w:rsidR="00E37316">
        <w:rPr>
          <w:rStyle w:val="rynqvb"/>
          <w:lang w:val="en"/>
        </w:rPr>
        <w:t>COU</w:t>
      </w:r>
      <w:r>
        <w:rPr>
          <w:rStyle w:val="rynqvb"/>
          <w:lang w:val="en"/>
        </w:rPr>
        <w:t xml:space="preserve"> and there was no statistically significant difference between the two groups regarding the severity of the children's disease (P-value &gt; 0.05)</w:t>
      </w:r>
      <w:r w:rsidR="00056925">
        <w:rPr>
          <w:rStyle w:val="rynqvb"/>
          <w:lang w:val="en"/>
        </w:rPr>
        <w:t xml:space="preserve"> </w:t>
      </w:r>
      <w:r w:rsidR="00056925" w:rsidRPr="00056925">
        <w:rPr>
          <w:rStyle w:val="rynqvb"/>
          <w:b/>
          <w:bCs/>
          <w:lang w:val="en"/>
        </w:rPr>
        <w:t xml:space="preserve">(Table </w:t>
      </w:r>
      <w:r w:rsidR="00E37316" w:rsidRPr="00056925">
        <w:rPr>
          <w:rStyle w:val="rynqvb"/>
          <w:b/>
          <w:bCs/>
          <w:lang w:val="en"/>
        </w:rPr>
        <w:t>1)</w:t>
      </w:r>
      <w:r w:rsidRPr="00056925">
        <w:rPr>
          <w:rStyle w:val="rynqvb"/>
          <w:b/>
          <w:bCs/>
          <w:lang w:val="en"/>
        </w:rPr>
        <w:t>.</w:t>
      </w:r>
      <w:r>
        <w:rPr>
          <w:rStyle w:val="hwtze"/>
          <w:lang w:val="en"/>
        </w:rPr>
        <w:t xml:space="preserve"> </w:t>
      </w:r>
      <w:r>
        <w:rPr>
          <w:rStyle w:val="rynqvb"/>
          <w:lang w:val="en"/>
        </w:rPr>
        <w:t>The recovery time in the probiotic group was 13.6 months, which was significantly less than the recovery time in the antibiotic group</w:t>
      </w:r>
      <w:r w:rsidR="00E37316">
        <w:rPr>
          <w:rStyle w:val="rynqvb"/>
          <w:lang w:val="en"/>
        </w:rPr>
        <w:t xml:space="preserve"> (16.1 months) (P-value = 0.045, </w:t>
      </w:r>
      <w:r w:rsidR="00E37316" w:rsidRPr="00056925">
        <w:rPr>
          <w:rStyle w:val="rynqvb"/>
          <w:b/>
          <w:bCs/>
          <w:lang w:val="en"/>
        </w:rPr>
        <w:t>Figure 2</w:t>
      </w:r>
      <w:r w:rsidR="00E37316">
        <w:rPr>
          <w:rStyle w:val="rynqvb"/>
          <w:lang w:val="en"/>
        </w:rPr>
        <w:t>)</w:t>
      </w:r>
      <w:r>
        <w:rPr>
          <w:rStyle w:val="rynqvb"/>
          <w:lang w:val="en"/>
        </w:rPr>
        <w:t>.</w:t>
      </w:r>
      <w:r>
        <w:rPr>
          <w:rStyle w:val="hwtze"/>
          <w:lang w:val="en"/>
        </w:rPr>
        <w:t xml:space="preserve"> </w:t>
      </w:r>
      <w:r w:rsidR="00E37316">
        <w:rPr>
          <w:rStyle w:val="hwtze"/>
          <w:lang w:val="en"/>
        </w:rPr>
        <w:t>A</w:t>
      </w:r>
      <w:r>
        <w:rPr>
          <w:rStyle w:val="rynqvb"/>
          <w:lang w:val="en"/>
        </w:rPr>
        <w:t>lso</w:t>
      </w:r>
      <w:r w:rsidR="00E37316">
        <w:rPr>
          <w:rStyle w:val="rynqvb"/>
          <w:lang w:val="en"/>
        </w:rPr>
        <w:t>,</w:t>
      </w:r>
      <w:r w:rsidR="00E37316" w:rsidRPr="00E37316">
        <w:rPr>
          <w:rStyle w:val="rynqvb"/>
          <w:lang w:val="en"/>
        </w:rPr>
        <w:t xml:space="preserve"> </w:t>
      </w:r>
      <w:r w:rsidR="00E37316">
        <w:rPr>
          <w:rStyle w:val="rynqvb"/>
          <w:lang w:val="en"/>
        </w:rPr>
        <w:t>the disease recurrence</w:t>
      </w:r>
      <w:r>
        <w:rPr>
          <w:rStyle w:val="hwtze"/>
          <w:lang w:val="en"/>
        </w:rPr>
        <w:t xml:space="preserve"> </w:t>
      </w:r>
      <w:r w:rsidR="00E37316">
        <w:rPr>
          <w:rStyle w:val="hwtze"/>
          <w:lang w:val="en"/>
        </w:rPr>
        <w:t>i</w:t>
      </w:r>
      <w:r>
        <w:rPr>
          <w:rStyle w:val="rynqvb"/>
          <w:lang w:val="en"/>
        </w:rPr>
        <w:t xml:space="preserve">n the probiotic group, </w:t>
      </w:r>
      <w:proofErr w:type="gramStart"/>
      <w:r w:rsidR="00E37316">
        <w:rPr>
          <w:rStyle w:val="rynqvb"/>
          <w:lang w:val="en"/>
        </w:rPr>
        <w:t>was</w:t>
      </w:r>
      <w:proofErr w:type="gramEnd"/>
      <w:r w:rsidR="00E37316">
        <w:rPr>
          <w:rStyle w:val="rynqvb"/>
          <w:lang w:val="en"/>
        </w:rPr>
        <w:t xml:space="preserve"> diagnosed </w:t>
      </w:r>
      <w:r>
        <w:rPr>
          <w:rStyle w:val="rynqvb"/>
          <w:lang w:val="en"/>
        </w:rPr>
        <w:t xml:space="preserve">in 6 patients (5.6%) and in the antibiotic group </w:t>
      </w:r>
      <w:r w:rsidR="00E37316">
        <w:rPr>
          <w:rStyle w:val="rynqvb"/>
          <w:lang w:val="en"/>
        </w:rPr>
        <w:t xml:space="preserve">diagnosed </w:t>
      </w:r>
      <w:r>
        <w:rPr>
          <w:rStyle w:val="rynqvb"/>
          <w:lang w:val="en"/>
        </w:rPr>
        <w:t>in 12 patients (12.6%). The difference between the two groups was not statistically significant (P-value = 0.092</w:t>
      </w:r>
      <w:r w:rsidR="00056925">
        <w:rPr>
          <w:rStyle w:val="rynqvb"/>
          <w:lang w:val="en"/>
        </w:rPr>
        <w:t xml:space="preserve">, </w:t>
      </w:r>
      <w:r w:rsidR="00056925" w:rsidRPr="00056925">
        <w:rPr>
          <w:rStyle w:val="rynqvb"/>
          <w:b/>
          <w:bCs/>
          <w:lang w:val="en"/>
        </w:rPr>
        <w:t xml:space="preserve">Figure </w:t>
      </w:r>
      <w:r w:rsidR="00056925">
        <w:rPr>
          <w:rStyle w:val="rynqvb"/>
          <w:b/>
          <w:bCs/>
          <w:lang w:val="en"/>
        </w:rPr>
        <w:t>3</w:t>
      </w:r>
      <w:r>
        <w:rPr>
          <w:rStyle w:val="rynqvb"/>
          <w:lang w:val="en"/>
        </w:rPr>
        <w:t>).</w:t>
      </w:r>
    </w:p>
    <w:p w:rsidR="00F21F7C" w:rsidRDefault="00F21F7C" w:rsidP="0087770F">
      <w:pPr>
        <w:bidi w:val="0"/>
        <w:spacing w:before="240" w:line="360" w:lineRule="auto"/>
        <w:ind w:right="284" w:firstLine="0"/>
        <w:jc w:val="both"/>
        <w:rPr>
          <w:rStyle w:val="Strong"/>
        </w:rPr>
      </w:pPr>
      <w:r>
        <w:rPr>
          <w:rStyle w:val="Strong"/>
        </w:rPr>
        <w:t>Discussion</w:t>
      </w:r>
    </w:p>
    <w:p w:rsidR="0087770F" w:rsidRPr="0087770F" w:rsidRDefault="0087770F" w:rsidP="00056925">
      <w:pPr>
        <w:bidi w:val="0"/>
        <w:spacing w:before="120" w:line="360" w:lineRule="auto"/>
        <w:ind w:right="284" w:firstLine="0"/>
        <w:jc w:val="both"/>
        <w:rPr>
          <w:rFonts w:eastAsia="Times New Roman"/>
          <w:szCs w:val="24"/>
        </w:rPr>
      </w:pPr>
      <w:r w:rsidRPr="0087770F">
        <w:rPr>
          <w:rFonts w:eastAsia="Times New Roman"/>
          <w:szCs w:val="24"/>
        </w:rPr>
        <w:t>In the present study, the effectiveness of probiotic w</w:t>
      </w:r>
      <w:r w:rsidR="00BC3903">
        <w:rPr>
          <w:rFonts w:eastAsia="Times New Roman"/>
          <w:szCs w:val="24"/>
        </w:rPr>
        <w:t>a</w:t>
      </w:r>
      <w:r w:rsidRPr="0087770F">
        <w:rPr>
          <w:rFonts w:eastAsia="Times New Roman"/>
          <w:szCs w:val="24"/>
        </w:rPr>
        <w:t xml:space="preserve">s compared </w:t>
      </w:r>
      <w:r w:rsidR="00CD10B5">
        <w:rPr>
          <w:rFonts w:eastAsia="Times New Roman"/>
          <w:szCs w:val="24"/>
        </w:rPr>
        <w:t>to</w:t>
      </w:r>
      <w:r w:rsidRPr="0087770F">
        <w:rPr>
          <w:rFonts w:eastAsia="Times New Roman"/>
          <w:szCs w:val="24"/>
        </w:rPr>
        <w:t xml:space="preserve"> antibiotics in children with </w:t>
      </w:r>
      <w:r>
        <w:rPr>
          <w:rFonts w:eastAsia="Times New Roman"/>
          <w:szCs w:val="24"/>
        </w:rPr>
        <w:t>COU</w:t>
      </w:r>
      <w:r w:rsidRPr="0087770F">
        <w:rPr>
          <w:rFonts w:eastAsia="Times New Roman"/>
          <w:szCs w:val="24"/>
        </w:rPr>
        <w:t xml:space="preserve">, and the results showed that probiotics and antibiotics are effective in the treatment of congenital obstructive uropathy. However, the recovery time after probiotic use was significantly shorter than that of antibiotics, and the rate of disease recurrence was lower in patients taking probiotics. Therefore, based on this finding, probiotics, due to their better effect and the possible side effects of antibiotics, can be a better option in </w:t>
      </w:r>
      <w:r w:rsidRPr="0087770F">
        <w:rPr>
          <w:rFonts w:eastAsia="Times New Roman"/>
          <w:szCs w:val="24"/>
        </w:rPr>
        <w:lastRenderedPageBreak/>
        <w:t>the management and treatment of congenital obstructive uropathy in children. The results of our study are consistent with the results of other studies in this field. Other studies have also examined the effectiveness of probiotics in the treatment of various disorders in children, and some studies have reported the benefits of probiotics (14-19). On the other hand, the findings of some other studies are not consistent with the results of the present study. The results of these studies showed that there was no significant benefit for probiotics compared to placebo or other treatments in preventing recurrent urinary tract infections (2</w:t>
      </w:r>
      <w:r w:rsidR="00056925">
        <w:rPr>
          <w:rFonts w:eastAsia="Times New Roman"/>
          <w:szCs w:val="24"/>
        </w:rPr>
        <w:t>0</w:t>
      </w:r>
      <w:r w:rsidRPr="0087770F">
        <w:rPr>
          <w:rFonts w:eastAsia="Times New Roman"/>
          <w:szCs w:val="24"/>
        </w:rPr>
        <w:t>, 2</w:t>
      </w:r>
      <w:r w:rsidR="00056925">
        <w:rPr>
          <w:rFonts w:eastAsia="Times New Roman"/>
          <w:szCs w:val="24"/>
        </w:rPr>
        <w:t>1</w:t>
      </w:r>
      <w:r w:rsidRPr="0087770F">
        <w:rPr>
          <w:rFonts w:eastAsia="Times New Roman"/>
          <w:szCs w:val="24"/>
        </w:rPr>
        <w:t xml:space="preserve">). Studies conducted in addition to the results of the present study show that there are mixed results regarding the effect of probiotics on kidney and urinary disorders in children. Some studies have reported them as effective as antibiotics or other interventions, and some other studies have shown the lack of effect of probiotics in the treatment of urinary disorders. </w:t>
      </w:r>
      <w:r w:rsidR="00CA3404">
        <w:rPr>
          <w:rFonts w:eastAsia="Times New Roman"/>
          <w:szCs w:val="24"/>
        </w:rPr>
        <w:t xml:space="preserve">… (22). </w:t>
      </w:r>
      <w:r w:rsidRPr="0087770F">
        <w:rPr>
          <w:rFonts w:eastAsia="Times New Roman"/>
          <w:szCs w:val="24"/>
        </w:rPr>
        <w:t>Therefore, it is necessary to conduct interventional studies with large sample sizes in a multicenter setting to obtain sufficient evidence in this field.</w:t>
      </w:r>
    </w:p>
    <w:p w:rsidR="00F21F7C" w:rsidRDefault="00F21F7C" w:rsidP="00F21F7C">
      <w:pPr>
        <w:bidi w:val="0"/>
        <w:spacing w:before="240" w:line="360" w:lineRule="auto"/>
        <w:ind w:right="283" w:firstLine="0"/>
        <w:jc w:val="both"/>
        <w:rPr>
          <w:rStyle w:val="Strong"/>
        </w:rPr>
      </w:pPr>
      <w:r>
        <w:rPr>
          <w:rStyle w:val="Strong"/>
        </w:rPr>
        <w:t>Conclusion</w:t>
      </w:r>
    </w:p>
    <w:p w:rsidR="00CD10B5" w:rsidRDefault="00CD10B5" w:rsidP="00CD10B5">
      <w:pPr>
        <w:bidi w:val="0"/>
        <w:spacing w:before="120" w:line="360" w:lineRule="auto"/>
        <w:ind w:right="284" w:firstLine="0"/>
        <w:jc w:val="both"/>
        <w:rPr>
          <w:rFonts w:eastAsia="Times New Roman"/>
          <w:szCs w:val="24"/>
        </w:rPr>
      </w:pPr>
      <w:r w:rsidRPr="0080071A">
        <w:rPr>
          <w:rFonts w:asciiTheme="majorBidi" w:hAnsiTheme="majorBidi" w:cstheme="majorBidi"/>
          <w:bCs/>
          <w:color w:val="000000"/>
          <w:szCs w:val="24"/>
          <w:lang w:bidi="fa-IR"/>
        </w:rPr>
        <w:t xml:space="preserve">Given the relatively similar effects of antibiotics and probiotics on preventing recurrence of </w:t>
      </w:r>
      <w:r>
        <w:rPr>
          <w:rFonts w:asciiTheme="majorBidi" w:hAnsiTheme="majorBidi" w:cstheme="majorBidi"/>
          <w:bCs/>
          <w:color w:val="000000"/>
          <w:szCs w:val="24"/>
          <w:lang w:bidi="fa-IR"/>
        </w:rPr>
        <w:t>COU</w:t>
      </w:r>
      <w:r w:rsidRPr="0080071A">
        <w:rPr>
          <w:rFonts w:asciiTheme="majorBidi" w:hAnsiTheme="majorBidi" w:cstheme="majorBidi"/>
          <w:bCs/>
          <w:color w:val="000000"/>
          <w:szCs w:val="24"/>
          <w:lang w:bidi="fa-IR"/>
        </w:rPr>
        <w:t xml:space="preserve"> and urinary tract infection, it seems that probiotics are a suitable alternative to antibiotics in preventing or reducing recurrence of </w:t>
      </w:r>
      <w:r>
        <w:rPr>
          <w:rFonts w:asciiTheme="majorBidi" w:hAnsiTheme="majorBidi" w:cstheme="majorBidi"/>
          <w:bCs/>
          <w:color w:val="000000"/>
          <w:szCs w:val="24"/>
          <w:lang w:bidi="fa-IR"/>
        </w:rPr>
        <w:t>COU</w:t>
      </w:r>
      <w:r w:rsidRPr="0080071A">
        <w:rPr>
          <w:rFonts w:asciiTheme="majorBidi" w:hAnsiTheme="majorBidi" w:cstheme="majorBidi"/>
          <w:bCs/>
          <w:color w:val="000000"/>
          <w:szCs w:val="24"/>
          <w:lang w:bidi="fa-IR"/>
        </w:rPr>
        <w:t>.</w:t>
      </w:r>
    </w:p>
    <w:p w:rsidR="00E336EF" w:rsidRDefault="00E336EF">
      <w:pPr>
        <w:widowControl/>
        <w:ind w:firstLine="0"/>
        <w:jc w:val="left"/>
        <w:rPr>
          <w:rFonts w:eastAsia="Times New Roman"/>
          <w:szCs w:val="24"/>
        </w:rPr>
      </w:pPr>
      <w:r>
        <w:rPr>
          <w:rFonts w:eastAsia="Times New Roman"/>
          <w:szCs w:val="24"/>
        </w:rPr>
        <w:br w:type="page"/>
      </w:r>
    </w:p>
    <w:p w:rsidR="00E336EF" w:rsidRDefault="00E336EF" w:rsidP="00E336EF">
      <w:pPr>
        <w:bidi w:val="0"/>
        <w:spacing w:before="240" w:line="360" w:lineRule="auto"/>
        <w:ind w:right="283" w:firstLine="0"/>
        <w:jc w:val="both"/>
        <w:rPr>
          <w:rFonts w:eastAsia="Times New Roman"/>
          <w:noProof/>
          <w:szCs w:val="24"/>
        </w:rPr>
      </w:pPr>
    </w:p>
    <w:p w:rsidR="00CD10B5" w:rsidRDefault="00CD10B5" w:rsidP="00CD10B5">
      <w:pPr>
        <w:bidi w:val="0"/>
        <w:spacing w:before="240" w:line="360" w:lineRule="auto"/>
        <w:ind w:right="283" w:firstLine="0"/>
        <w:jc w:val="both"/>
        <w:rPr>
          <w:rFonts w:eastAsia="Times New Roman"/>
          <w:szCs w:val="24"/>
        </w:rPr>
      </w:pPr>
      <w:r>
        <w:rPr>
          <w:rFonts w:eastAsia="Times New Roman"/>
          <w:noProof/>
          <w:szCs w:val="24"/>
        </w:rPr>
        <w:drawing>
          <wp:inline distT="0" distB="0" distL="0" distR="0" wp14:anchorId="4AFD3D2E" wp14:editId="7020ED2B">
            <wp:extent cx="5575935" cy="532384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png"/>
                    <pic:cNvPicPr/>
                  </pic:nvPicPr>
                  <pic:blipFill>
                    <a:blip r:embed="rId4">
                      <a:extLst>
                        <a:ext uri="{28A0092B-C50C-407E-A947-70E740481C1C}">
                          <a14:useLocalDpi xmlns:a14="http://schemas.microsoft.com/office/drawing/2010/main" val="0"/>
                        </a:ext>
                      </a:extLst>
                    </a:blip>
                    <a:stretch>
                      <a:fillRect/>
                    </a:stretch>
                  </pic:blipFill>
                  <pic:spPr>
                    <a:xfrm>
                      <a:off x="0" y="0"/>
                      <a:ext cx="5575935" cy="5323840"/>
                    </a:xfrm>
                    <a:prstGeom prst="rect">
                      <a:avLst/>
                    </a:prstGeom>
                  </pic:spPr>
                </pic:pic>
              </a:graphicData>
            </a:graphic>
          </wp:inline>
        </w:drawing>
      </w:r>
    </w:p>
    <w:p w:rsidR="00E336EF" w:rsidRDefault="00E336EF" w:rsidP="00E336EF">
      <w:pPr>
        <w:bidi w:val="0"/>
        <w:spacing w:before="240" w:line="360" w:lineRule="auto"/>
        <w:ind w:right="283" w:firstLine="0"/>
        <w:jc w:val="both"/>
        <w:rPr>
          <w:rStyle w:val="rynqvb"/>
          <w:lang w:val="en"/>
        </w:rPr>
      </w:pPr>
      <w:r>
        <w:rPr>
          <w:rStyle w:val="rynqvb"/>
          <w:lang w:val="en"/>
        </w:rPr>
        <w:t>Figure 1: Flowchart of the process of selecting children for the study</w:t>
      </w:r>
    </w:p>
    <w:p w:rsidR="00CD10B5" w:rsidRPr="009E0C9C" w:rsidRDefault="00CD10B5" w:rsidP="009E0C9C">
      <w:pPr>
        <w:widowControl/>
        <w:ind w:firstLine="0"/>
        <w:jc w:val="left"/>
        <w:rPr>
          <w:lang w:val="en"/>
        </w:rPr>
      </w:pPr>
      <w:r>
        <w:rPr>
          <w:rStyle w:val="rynqvb"/>
          <w:lang w:val="en"/>
        </w:rPr>
        <w:br w:type="page"/>
      </w:r>
      <w:bookmarkStart w:id="0" w:name="_GoBack"/>
      <w:bookmarkEnd w:id="0"/>
    </w:p>
    <w:tbl>
      <w:tblPr>
        <w:tblStyle w:val="TableGrid11"/>
        <w:tblW w:w="0" w:type="auto"/>
        <w:tblInd w:w="-101" w:type="dxa"/>
        <w:tblLook w:val="04A0" w:firstRow="1" w:lastRow="0" w:firstColumn="1" w:lastColumn="0" w:noHBand="0" w:noVBand="1"/>
      </w:tblPr>
      <w:tblGrid>
        <w:gridCol w:w="1146"/>
        <w:gridCol w:w="1190"/>
        <w:gridCol w:w="2296"/>
        <w:gridCol w:w="2410"/>
        <w:gridCol w:w="1245"/>
      </w:tblGrid>
      <w:tr w:rsidR="00CD10B5" w:rsidRPr="00CD10B5" w:rsidTr="007003A1">
        <w:trPr>
          <w:trHeight w:val="540"/>
        </w:trPr>
        <w:tc>
          <w:tcPr>
            <w:tcW w:w="8287" w:type="dxa"/>
            <w:gridSpan w:val="5"/>
            <w:shd w:val="clear" w:color="auto" w:fill="FBE4D5" w:themeFill="accent2" w:themeFillTint="33"/>
            <w:vAlign w:val="center"/>
          </w:tcPr>
          <w:p w:rsidR="00CD10B5" w:rsidRPr="00CD10B5" w:rsidRDefault="00CD10B5" w:rsidP="00CD10B5">
            <w:pPr>
              <w:widowControl/>
              <w:bidi/>
              <w:ind w:firstLine="0"/>
              <w:jc w:val="right"/>
              <w:rPr>
                <w:rFonts w:ascii="Arial" w:hAnsi="Arial" w:cs="B Nazanin"/>
                <w:sz w:val="20"/>
                <w:szCs w:val="20"/>
              </w:rPr>
            </w:pPr>
            <w:r w:rsidRPr="00CD10B5">
              <w:rPr>
                <w:rFonts w:ascii="Arial" w:hAnsi="Arial" w:cs="B Nazanin"/>
                <w:sz w:val="20"/>
                <w:szCs w:val="20"/>
              </w:rPr>
              <w:lastRenderedPageBreak/>
              <w:t>Table 1: Baseline characteristics of 199 children with congenital obstructive uropathy in the two study groups</w:t>
            </w:r>
          </w:p>
        </w:tc>
      </w:tr>
      <w:tr w:rsidR="00CD10B5" w:rsidRPr="00CD10B5" w:rsidTr="007003A1">
        <w:trPr>
          <w:trHeight w:val="402"/>
        </w:trPr>
        <w:tc>
          <w:tcPr>
            <w:tcW w:w="2336" w:type="dxa"/>
            <w:gridSpan w:val="2"/>
            <w:tcBorders>
              <w:bottom w:val="single" w:sz="4" w:space="0" w:color="auto"/>
              <w:right w:val="nil"/>
            </w:tcBorders>
            <w:shd w:val="clear" w:color="auto" w:fill="auto"/>
          </w:tcPr>
          <w:p w:rsidR="00CD10B5" w:rsidRPr="00CD10B5" w:rsidRDefault="00CD10B5" w:rsidP="00CD10B5">
            <w:pPr>
              <w:widowControl/>
              <w:bidi/>
              <w:ind w:firstLine="0"/>
              <w:jc w:val="both"/>
              <w:rPr>
                <w:rFonts w:ascii="Arial" w:hAnsi="Arial" w:cs="B Nazanin"/>
                <w:sz w:val="22"/>
                <w:szCs w:val="22"/>
                <w:rtl/>
              </w:rPr>
            </w:pPr>
          </w:p>
        </w:tc>
        <w:tc>
          <w:tcPr>
            <w:tcW w:w="2296" w:type="dxa"/>
            <w:tcBorders>
              <w:left w:val="nil"/>
              <w:bottom w:val="single" w:sz="4" w:space="0" w:color="auto"/>
              <w:right w:val="nil"/>
            </w:tcBorders>
            <w:shd w:val="clear" w:color="auto" w:fill="auto"/>
            <w:vAlign w:val="center"/>
          </w:tcPr>
          <w:p w:rsidR="00CD10B5" w:rsidRPr="00CD10B5" w:rsidRDefault="00CD10B5" w:rsidP="00CD10B5">
            <w:pPr>
              <w:widowControl/>
              <w:bidi/>
              <w:ind w:firstLine="0"/>
              <w:jc w:val="center"/>
              <w:rPr>
                <w:rFonts w:ascii="Arial" w:hAnsi="Arial" w:cs="B Nazanin"/>
                <w:sz w:val="20"/>
                <w:szCs w:val="20"/>
                <w:rtl/>
              </w:rPr>
            </w:pPr>
            <w:r w:rsidRPr="00CD10B5">
              <w:rPr>
                <w:rFonts w:ascii="Arial" w:hAnsi="Arial" w:cs="B Nazanin"/>
                <w:sz w:val="20"/>
                <w:szCs w:val="20"/>
              </w:rPr>
              <w:t>Antibiotic group (n=95)</w:t>
            </w:r>
          </w:p>
        </w:tc>
        <w:tc>
          <w:tcPr>
            <w:tcW w:w="2410" w:type="dxa"/>
            <w:tcBorders>
              <w:left w:val="nil"/>
              <w:bottom w:val="single" w:sz="4" w:space="0" w:color="auto"/>
              <w:right w:val="nil"/>
            </w:tcBorders>
            <w:shd w:val="clear" w:color="auto" w:fill="auto"/>
            <w:vAlign w:val="center"/>
          </w:tcPr>
          <w:p w:rsidR="00CD10B5" w:rsidRPr="00CD10B5" w:rsidRDefault="00CD10B5" w:rsidP="00CD10B5">
            <w:pPr>
              <w:widowControl/>
              <w:bidi/>
              <w:ind w:firstLine="0"/>
              <w:jc w:val="center"/>
              <w:rPr>
                <w:rFonts w:ascii="Arial" w:hAnsi="Arial" w:cs="B Nazanin"/>
                <w:sz w:val="20"/>
                <w:szCs w:val="20"/>
                <w:rtl/>
              </w:rPr>
            </w:pPr>
            <w:r w:rsidRPr="00CD10B5">
              <w:rPr>
                <w:rFonts w:ascii="Arial" w:hAnsi="Arial" w:cs="B Nazanin"/>
                <w:sz w:val="20"/>
                <w:szCs w:val="20"/>
              </w:rPr>
              <w:t>Probiotic group (n=104)</w:t>
            </w:r>
          </w:p>
        </w:tc>
        <w:tc>
          <w:tcPr>
            <w:tcW w:w="1245" w:type="dxa"/>
            <w:tcBorders>
              <w:left w:val="nil"/>
              <w:bottom w:val="single" w:sz="4" w:space="0" w:color="auto"/>
            </w:tcBorders>
            <w:shd w:val="clear" w:color="auto" w:fill="auto"/>
            <w:vAlign w:val="center"/>
          </w:tcPr>
          <w:p w:rsidR="00CD10B5" w:rsidRPr="00CD10B5" w:rsidRDefault="00CD10B5" w:rsidP="00CD10B5">
            <w:pPr>
              <w:widowControl/>
              <w:bidi/>
              <w:ind w:firstLine="0"/>
              <w:jc w:val="center"/>
              <w:rPr>
                <w:rFonts w:ascii="Arial" w:hAnsi="Arial" w:cs="B Nazanin"/>
                <w:sz w:val="20"/>
                <w:szCs w:val="20"/>
                <w:rtl/>
              </w:rPr>
            </w:pPr>
            <w:r w:rsidRPr="00CD10B5">
              <w:rPr>
                <w:rFonts w:ascii="Arial" w:hAnsi="Arial" w:cs="B Nazanin"/>
                <w:sz w:val="20"/>
                <w:szCs w:val="20"/>
              </w:rPr>
              <w:t>P-value</w:t>
            </w:r>
          </w:p>
        </w:tc>
      </w:tr>
      <w:tr w:rsidR="00CD10B5" w:rsidRPr="00CD10B5" w:rsidTr="007003A1">
        <w:trPr>
          <w:trHeight w:val="319"/>
        </w:trPr>
        <w:tc>
          <w:tcPr>
            <w:tcW w:w="2336" w:type="dxa"/>
            <w:gridSpan w:val="2"/>
            <w:tcBorders>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sz w:val="20"/>
                <w:szCs w:val="20"/>
              </w:rPr>
              <w:t>Age (year)</w:t>
            </w:r>
          </w:p>
        </w:tc>
        <w:tc>
          <w:tcPr>
            <w:tcW w:w="2296" w:type="dxa"/>
            <w:tcBorders>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r w:rsidRPr="00CD10B5">
              <w:rPr>
                <w:rFonts w:ascii="Arial" w:hAnsi="Arial" w:cs="B Nazanin"/>
                <w:sz w:val="20"/>
                <w:szCs w:val="20"/>
              </w:rPr>
              <w:t>3.4 ± 1.6</w:t>
            </w:r>
          </w:p>
        </w:tc>
        <w:tc>
          <w:tcPr>
            <w:tcW w:w="2410" w:type="dxa"/>
            <w:tcBorders>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r w:rsidRPr="00CD10B5">
              <w:rPr>
                <w:rFonts w:ascii="Arial" w:hAnsi="Arial" w:cs="B Nazanin"/>
                <w:sz w:val="20"/>
                <w:szCs w:val="20"/>
              </w:rPr>
              <w:t>3.5 ± 1.3</w:t>
            </w:r>
          </w:p>
        </w:tc>
        <w:tc>
          <w:tcPr>
            <w:tcW w:w="1245" w:type="dxa"/>
            <w:tcBorders>
              <w:left w:val="nil"/>
              <w:bottom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r w:rsidRPr="00CD10B5">
              <w:rPr>
                <w:rFonts w:ascii="Arial" w:hAnsi="Arial" w:cs="B Nazanin"/>
                <w:sz w:val="20"/>
                <w:szCs w:val="20"/>
              </w:rPr>
              <w:t>0.860</w:t>
            </w:r>
          </w:p>
        </w:tc>
      </w:tr>
      <w:tr w:rsidR="00CD10B5" w:rsidRPr="00CD10B5" w:rsidTr="007003A1">
        <w:trPr>
          <w:trHeight w:val="305"/>
        </w:trPr>
        <w:tc>
          <w:tcPr>
            <w:tcW w:w="2336" w:type="dxa"/>
            <w:gridSpan w:val="2"/>
            <w:tcBorders>
              <w:top w:val="single" w:sz="4" w:space="0" w:color="auto"/>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sz w:val="20"/>
                <w:szCs w:val="20"/>
              </w:rPr>
              <w:t>Gender</w:t>
            </w:r>
          </w:p>
        </w:tc>
        <w:tc>
          <w:tcPr>
            <w:tcW w:w="2296" w:type="dxa"/>
            <w:tcBorders>
              <w:top w:val="single" w:sz="4" w:space="0" w:color="auto"/>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p>
        </w:tc>
        <w:tc>
          <w:tcPr>
            <w:tcW w:w="2410" w:type="dxa"/>
            <w:tcBorders>
              <w:top w:val="single" w:sz="4" w:space="0" w:color="auto"/>
              <w:left w:val="nil"/>
              <w:bottom w:val="nil"/>
              <w:right w:val="nil"/>
            </w:tcBorders>
            <w:shd w:val="clear" w:color="auto" w:fill="auto"/>
            <w:vAlign w:val="center"/>
          </w:tcPr>
          <w:p w:rsidR="00CD10B5" w:rsidRPr="00CD10B5" w:rsidRDefault="00CD10B5" w:rsidP="00CD10B5">
            <w:pPr>
              <w:widowControl/>
              <w:ind w:firstLine="0"/>
              <w:jc w:val="center"/>
              <w:rPr>
                <w:rFonts w:ascii="Sylfaen" w:hAnsi="Sylfaen" w:cs="B Nazanin"/>
                <w:b/>
                <w:sz w:val="22"/>
                <w:szCs w:val="22"/>
                <w:rtl/>
              </w:rPr>
            </w:pPr>
          </w:p>
        </w:tc>
        <w:tc>
          <w:tcPr>
            <w:tcW w:w="1245" w:type="dxa"/>
            <w:vMerge w:val="restart"/>
            <w:tcBorders>
              <w:top w:val="single" w:sz="4" w:space="0" w:color="auto"/>
              <w:lef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r w:rsidRPr="00CD10B5">
              <w:rPr>
                <w:rFonts w:ascii="Arial" w:hAnsi="Arial" w:cs="B Nazanin"/>
                <w:sz w:val="20"/>
                <w:szCs w:val="20"/>
              </w:rPr>
              <w:t>0.448</w:t>
            </w:r>
          </w:p>
        </w:tc>
      </w:tr>
      <w:tr w:rsidR="00CD10B5" w:rsidRPr="00CD10B5" w:rsidTr="007003A1">
        <w:trPr>
          <w:trHeight w:val="305"/>
        </w:trPr>
        <w:tc>
          <w:tcPr>
            <w:tcW w:w="2336" w:type="dxa"/>
            <w:gridSpan w:val="2"/>
            <w:tcBorders>
              <w:top w:val="nil"/>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sz w:val="20"/>
                <w:szCs w:val="20"/>
              </w:rPr>
              <w:t xml:space="preserve">    Male</w:t>
            </w:r>
          </w:p>
        </w:tc>
        <w:tc>
          <w:tcPr>
            <w:tcW w:w="2296"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r w:rsidRPr="00CD10B5">
              <w:rPr>
                <w:rFonts w:ascii="Arial" w:hAnsi="Arial" w:cs="B Nazanin"/>
                <w:sz w:val="20"/>
                <w:szCs w:val="20"/>
              </w:rPr>
              <w:t>57 (60)</w:t>
            </w:r>
          </w:p>
        </w:tc>
        <w:tc>
          <w:tcPr>
            <w:tcW w:w="2410"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r w:rsidRPr="00CD10B5">
              <w:rPr>
                <w:rFonts w:ascii="Arial" w:hAnsi="Arial" w:cs="B Nazanin"/>
                <w:sz w:val="20"/>
                <w:szCs w:val="20"/>
              </w:rPr>
              <w:t>71 (68.3)</w:t>
            </w:r>
          </w:p>
        </w:tc>
        <w:tc>
          <w:tcPr>
            <w:tcW w:w="1245" w:type="dxa"/>
            <w:vMerge/>
            <w:tcBorders>
              <w:lef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p>
        </w:tc>
      </w:tr>
      <w:tr w:rsidR="00CD10B5" w:rsidRPr="00CD10B5" w:rsidTr="007003A1">
        <w:trPr>
          <w:trHeight w:val="319"/>
        </w:trPr>
        <w:tc>
          <w:tcPr>
            <w:tcW w:w="2336" w:type="dxa"/>
            <w:gridSpan w:val="2"/>
            <w:tcBorders>
              <w:top w:val="nil"/>
              <w:bottom w:val="single" w:sz="4" w:space="0" w:color="auto"/>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sz w:val="20"/>
                <w:szCs w:val="20"/>
              </w:rPr>
              <w:t xml:space="preserve">    Female</w:t>
            </w:r>
          </w:p>
        </w:tc>
        <w:tc>
          <w:tcPr>
            <w:tcW w:w="2296" w:type="dxa"/>
            <w:tcBorders>
              <w:top w:val="nil"/>
              <w:left w:val="nil"/>
              <w:bottom w:val="single" w:sz="4" w:space="0" w:color="auto"/>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r w:rsidRPr="00CD10B5">
              <w:rPr>
                <w:rFonts w:ascii="Arial" w:hAnsi="Arial" w:cs="B Nazanin"/>
                <w:sz w:val="20"/>
                <w:szCs w:val="20"/>
              </w:rPr>
              <w:t>38 (40)</w:t>
            </w:r>
          </w:p>
        </w:tc>
        <w:tc>
          <w:tcPr>
            <w:tcW w:w="2410" w:type="dxa"/>
            <w:tcBorders>
              <w:top w:val="nil"/>
              <w:left w:val="nil"/>
              <w:bottom w:val="single" w:sz="4" w:space="0" w:color="auto"/>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r w:rsidRPr="00CD10B5">
              <w:rPr>
                <w:rFonts w:ascii="Arial" w:hAnsi="Arial" w:cs="B Nazanin"/>
                <w:sz w:val="20"/>
                <w:szCs w:val="20"/>
              </w:rPr>
              <w:t>33 (31.7)</w:t>
            </w:r>
          </w:p>
        </w:tc>
        <w:tc>
          <w:tcPr>
            <w:tcW w:w="1245" w:type="dxa"/>
            <w:vMerge/>
            <w:tcBorders>
              <w:left w:val="nil"/>
              <w:bottom w:val="single" w:sz="4" w:space="0" w:color="auto"/>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p>
        </w:tc>
      </w:tr>
      <w:tr w:rsidR="00CD10B5" w:rsidRPr="00CD10B5" w:rsidTr="007003A1">
        <w:trPr>
          <w:trHeight w:val="305"/>
        </w:trPr>
        <w:tc>
          <w:tcPr>
            <w:tcW w:w="2336" w:type="dxa"/>
            <w:gridSpan w:val="2"/>
            <w:tcBorders>
              <w:top w:val="single" w:sz="4" w:space="0" w:color="auto"/>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Pr>
            </w:pPr>
            <w:r w:rsidRPr="00CD10B5">
              <w:rPr>
                <w:rFonts w:ascii="Arial" w:hAnsi="Arial" w:cs="B Nazanin"/>
                <w:sz w:val="20"/>
                <w:szCs w:val="20"/>
              </w:rPr>
              <w:t>Severity of the uropathy</w:t>
            </w:r>
          </w:p>
        </w:tc>
        <w:tc>
          <w:tcPr>
            <w:tcW w:w="2296" w:type="dxa"/>
            <w:tcBorders>
              <w:top w:val="single" w:sz="4" w:space="0" w:color="auto"/>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p>
        </w:tc>
        <w:tc>
          <w:tcPr>
            <w:tcW w:w="2410" w:type="dxa"/>
            <w:tcBorders>
              <w:top w:val="single" w:sz="4" w:space="0" w:color="auto"/>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p>
        </w:tc>
        <w:tc>
          <w:tcPr>
            <w:tcW w:w="1245" w:type="dxa"/>
            <w:vMerge w:val="restart"/>
            <w:tcBorders>
              <w:top w:val="single" w:sz="4" w:space="0" w:color="auto"/>
              <w:lef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r w:rsidRPr="00CD10B5">
              <w:rPr>
                <w:rFonts w:ascii="Arial" w:hAnsi="Arial" w:cs="B Nazanin"/>
                <w:sz w:val="20"/>
                <w:szCs w:val="20"/>
              </w:rPr>
              <w:t>&gt; 0.05</w:t>
            </w:r>
          </w:p>
        </w:tc>
      </w:tr>
      <w:tr w:rsidR="00CD10B5" w:rsidRPr="00CD10B5" w:rsidTr="007003A1">
        <w:trPr>
          <w:trHeight w:val="305"/>
        </w:trPr>
        <w:tc>
          <w:tcPr>
            <w:tcW w:w="1146" w:type="dxa"/>
            <w:vMerge w:val="restart"/>
            <w:tcBorders>
              <w:top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hint="cs"/>
                <w:sz w:val="20"/>
                <w:szCs w:val="20"/>
                <w:rtl/>
              </w:rPr>
              <w:t xml:space="preserve">     </w:t>
            </w:r>
            <w:r w:rsidRPr="00CD10B5">
              <w:rPr>
                <w:rFonts w:ascii="Arial" w:hAnsi="Arial" w:cs="B Nazanin"/>
                <w:sz w:val="20"/>
                <w:szCs w:val="20"/>
              </w:rPr>
              <w:t>Mild</w:t>
            </w:r>
            <w:r w:rsidRPr="00CD10B5">
              <w:rPr>
                <w:rFonts w:ascii="Arial" w:hAnsi="Arial" w:cs="B Nazanin" w:hint="cs"/>
                <w:sz w:val="20"/>
                <w:szCs w:val="20"/>
                <w:rtl/>
              </w:rPr>
              <w:t xml:space="preserve"> </w:t>
            </w:r>
          </w:p>
        </w:tc>
        <w:tc>
          <w:tcPr>
            <w:tcW w:w="1190" w:type="dxa"/>
            <w:tcBorders>
              <w:top w:val="nil"/>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sz w:val="20"/>
                <w:szCs w:val="20"/>
              </w:rPr>
              <w:t>Right side</w:t>
            </w:r>
          </w:p>
        </w:tc>
        <w:tc>
          <w:tcPr>
            <w:tcW w:w="2296"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22 (22.1)</w:t>
            </w:r>
          </w:p>
        </w:tc>
        <w:tc>
          <w:tcPr>
            <w:tcW w:w="2410"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22 (21.2)</w:t>
            </w:r>
          </w:p>
        </w:tc>
        <w:tc>
          <w:tcPr>
            <w:tcW w:w="1245" w:type="dxa"/>
            <w:vMerge/>
            <w:tcBorders>
              <w:lef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p>
        </w:tc>
      </w:tr>
      <w:tr w:rsidR="00CD10B5" w:rsidRPr="00CD10B5" w:rsidTr="007003A1">
        <w:trPr>
          <w:trHeight w:val="332"/>
        </w:trPr>
        <w:tc>
          <w:tcPr>
            <w:tcW w:w="1146" w:type="dxa"/>
            <w:vMerge/>
            <w:tcBorders>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p>
        </w:tc>
        <w:tc>
          <w:tcPr>
            <w:tcW w:w="1190" w:type="dxa"/>
            <w:tcBorders>
              <w:top w:val="nil"/>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sz w:val="20"/>
                <w:szCs w:val="20"/>
              </w:rPr>
              <w:t>Left side</w:t>
            </w:r>
          </w:p>
        </w:tc>
        <w:tc>
          <w:tcPr>
            <w:tcW w:w="2296"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32 (33.7)</w:t>
            </w:r>
          </w:p>
        </w:tc>
        <w:tc>
          <w:tcPr>
            <w:tcW w:w="2410"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29 (28.9)</w:t>
            </w:r>
          </w:p>
        </w:tc>
        <w:tc>
          <w:tcPr>
            <w:tcW w:w="1245" w:type="dxa"/>
            <w:vMerge/>
            <w:tcBorders>
              <w:lef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p>
        </w:tc>
      </w:tr>
      <w:tr w:rsidR="00CD10B5" w:rsidRPr="00CD10B5" w:rsidTr="007003A1">
        <w:trPr>
          <w:trHeight w:val="319"/>
        </w:trPr>
        <w:tc>
          <w:tcPr>
            <w:tcW w:w="1146" w:type="dxa"/>
            <w:vMerge/>
            <w:tcBorders>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p>
        </w:tc>
        <w:tc>
          <w:tcPr>
            <w:tcW w:w="1190" w:type="dxa"/>
            <w:tcBorders>
              <w:top w:val="nil"/>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sz w:val="20"/>
                <w:szCs w:val="20"/>
              </w:rPr>
              <w:t>Both side</w:t>
            </w:r>
          </w:p>
        </w:tc>
        <w:tc>
          <w:tcPr>
            <w:tcW w:w="2296"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15 (15.7)</w:t>
            </w:r>
          </w:p>
        </w:tc>
        <w:tc>
          <w:tcPr>
            <w:tcW w:w="2410"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18 (17.3)</w:t>
            </w:r>
          </w:p>
        </w:tc>
        <w:tc>
          <w:tcPr>
            <w:tcW w:w="1245" w:type="dxa"/>
            <w:vMerge/>
            <w:tcBorders>
              <w:lef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p>
        </w:tc>
      </w:tr>
      <w:tr w:rsidR="00CD10B5" w:rsidRPr="00CD10B5" w:rsidTr="007003A1">
        <w:trPr>
          <w:trHeight w:val="305"/>
        </w:trPr>
        <w:tc>
          <w:tcPr>
            <w:tcW w:w="1146" w:type="dxa"/>
            <w:vMerge w:val="restart"/>
            <w:tcBorders>
              <w:top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hint="cs"/>
                <w:sz w:val="20"/>
                <w:szCs w:val="20"/>
                <w:rtl/>
              </w:rPr>
              <w:t xml:space="preserve">     </w:t>
            </w:r>
            <w:r w:rsidRPr="00CD10B5">
              <w:rPr>
                <w:rFonts w:ascii="Arial" w:hAnsi="Arial" w:cs="B Nazanin"/>
                <w:sz w:val="20"/>
                <w:szCs w:val="20"/>
              </w:rPr>
              <w:t>Moderate</w:t>
            </w:r>
            <w:r w:rsidRPr="00CD10B5">
              <w:rPr>
                <w:rFonts w:ascii="Arial" w:hAnsi="Arial" w:cs="B Nazanin" w:hint="cs"/>
                <w:sz w:val="20"/>
                <w:szCs w:val="20"/>
                <w:rtl/>
              </w:rPr>
              <w:t xml:space="preserve"> </w:t>
            </w:r>
          </w:p>
        </w:tc>
        <w:tc>
          <w:tcPr>
            <w:tcW w:w="1190" w:type="dxa"/>
            <w:tcBorders>
              <w:top w:val="nil"/>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sz w:val="20"/>
                <w:szCs w:val="20"/>
              </w:rPr>
              <w:t>Right side</w:t>
            </w:r>
          </w:p>
        </w:tc>
        <w:tc>
          <w:tcPr>
            <w:tcW w:w="2296"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6 (6.3)</w:t>
            </w:r>
          </w:p>
        </w:tc>
        <w:tc>
          <w:tcPr>
            <w:tcW w:w="2410"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12 (11.5)</w:t>
            </w:r>
          </w:p>
        </w:tc>
        <w:tc>
          <w:tcPr>
            <w:tcW w:w="1245" w:type="dxa"/>
            <w:vMerge/>
            <w:tcBorders>
              <w:lef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p>
        </w:tc>
      </w:tr>
      <w:tr w:rsidR="00CD10B5" w:rsidRPr="00CD10B5" w:rsidTr="007003A1">
        <w:trPr>
          <w:trHeight w:val="332"/>
        </w:trPr>
        <w:tc>
          <w:tcPr>
            <w:tcW w:w="1146" w:type="dxa"/>
            <w:vMerge/>
            <w:tcBorders>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p>
        </w:tc>
        <w:tc>
          <w:tcPr>
            <w:tcW w:w="1190" w:type="dxa"/>
            <w:tcBorders>
              <w:top w:val="nil"/>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sz w:val="20"/>
                <w:szCs w:val="20"/>
              </w:rPr>
              <w:t>Left side</w:t>
            </w:r>
          </w:p>
        </w:tc>
        <w:tc>
          <w:tcPr>
            <w:tcW w:w="2296"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8 (8.4)</w:t>
            </w:r>
          </w:p>
        </w:tc>
        <w:tc>
          <w:tcPr>
            <w:tcW w:w="2410"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11 (10.6)</w:t>
            </w:r>
          </w:p>
        </w:tc>
        <w:tc>
          <w:tcPr>
            <w:tcW w:w="1245" w:type="dxa"/>
            <w:vMerge/>
            <w:tcBorders>
              <w:lef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p>
        </w:tc>
      </w:tr>
      <w:tr w:rsidR="00CD10B5" w:rsidRPr="00CD10B5" w:rsidTr="007003A1">
        <w:trPr>
          <w:trHeight w:val="319"/>
        </w:trPr>
        <w:tc>
          <w:tcPr>
            <w:tcW w:w="1146" w:type="dxa"/>
            <w:vMerge/>
            <w:tcBorders>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p>
        </w:tc>
        <w:tc>
          <w:tcPr>
            <w:tcW w:w="1190" w:type="dxa"/>
            <w:tcBorders>
              <w:top w:val="nil"/>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sz w:val="20"/>
                <w:szCs w:val="20"/>
              </w:rPr>
              <w:t>Both side</w:t>
            </w:r>
          </w:p>
        </w:tc>
        <w:tc>
          <w:tcPr>
            <w:tcW w:w="2296"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8 (8.4)</w:t>
            </w:r>
          </w:p>
        </w:tc>
        <w:tc>
          <w:tcPr>
            <w:tcW w:w="2410"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6 (5.7)</w:t>
            </w:r>
          </w:p>
        </w:tc>
        <w:tc>
          <w:tcPr>
            <w:tcW w:w="1245" w:type="dxa"/>
            <w:vMerge/>
            <w:tcBorders>
              <w:lef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p>
        </w:tc>
      </w:tr>
      <w:tr w:rsidR="00CD10B5" w:rsidRPr="00CD10B5" w:rsidTr="007003A1">
        <w:trPr>
          <w:trHeight w:val="305"/>
        </w:trPr>
        <w:tc>
          <w:tcPr>
            <w:tcW w:w="1146" w:type="dxa"/>
            <w:vMerge w:val="restart"/>
            <w:tcBorders>
              <w:top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hint="cs"/>
                <w:sz w:val="20"/>
                <w:szCs w:val="20"/>
                <w:rtl/>
              </w:rPr>
              <w:t xml:space="preserve">     </w:t>
            </w:r>
            <w:r w:rsidRPr="00CD10B5">
              <w:rPr>
                <w:rFonts w:ascii="Arial" w:hAnsi="Arial" w:cs="B Nazanin"/>
                <w:sz w:val="20"/>
                <w:szCs w:val="20"/>
              </w:rPr>
              <w:t xml:space="preserve">Severe </w:t>
            </w:r>
            <w:r w:rsidRPr="00CD10B5">
              <w:rPr>
                <w:rFonts w:ascii="Arial" w:hAnsi="Arial" w:cs="B Nazanin" w:hint="cs"/>
                <w:sz w:val="20"/>
                <w:szCs w:val="20"/>
                <w:rtl/>
              </w:rPr>
              <w:t xml:space="preserve"> </w:t>
            </w:r>
          </w:p>
        </w:tc>
        <w:tc>
          <w:tcPr>
            <w:tcW w:w="1190" w:type="dxa"/>
            <w:tcBorders>
              <w:top w:val="nil"/>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sz w:val="20"/>
                <w:szCs w:val="20"/>
              </w:rPr>
              <w:t>Right side</w:t>
            </w:r>
          </w:p>
        </w:tc>
        <w:tc>
          <w:tcPr>
            <w:tcW w:w="2296"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1 (1.1)</w:t>
            </w:r>
          </w:p>
        </w:tc>
        <w:tc>
          <w:tcPr>
            <w:tcW w:w="2410"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2 (1.9)</w:t>
            </w:r>
          </w:p>
        </w:tc>
        <w:tc>
          <w:tcPr>
            <w:tcW w:w="1245" w:type="dxa"/>
            <w:vMerge/>
            <w:tcBorders>
              <w:lef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p>
        </w:tc>
      </w:tr>
      <w:tr w:rsidR="00CD10B5" w:rsidRPr="00CD10B5" w:rsidTr="007003A1">
        <w:trPr>
          <w:trHeight w:val="319"/>
        </w:trPr>
        <w:tc>
          <w:tcPr>
            <w:tcW w:w="1146" w:type="dxa"/>
            <w:vMerge/>
            <w:tcBorders>
              <w:right w:val="nil"/>
            </w:tcBorders>
            <w:shd w:val="clear" w:color="auto" w:fill="auto"/>
            <w:vAlign w:val="center"/>
          </w:tcPr>
          <w:p w:rsidR="00CD10B5" w:rsidRPr="00CD10B5" w:rsidRDefault="00CD10B5" w:rsidP="00CD10B5">
            <w:pPr>
              <w:widowControl/>
              <w:spacing w:after="160" w:line="259" w:lineRule="auto"/>
              <w:ind w:firstLine="0"/>
              <w:jc w:val="both"/>
              <w:rPr>
                <w:rFonts w:ascii="Arial" w:hAnsi="Arial" w:cs="B Nazanin"/>
                <w:sz w:val="22"/>
                <w:szCs w:val="22"/>
                <w:rtl/>
              </w:rPr>
            </w:pPr>
          </w:p>
        </w:tc>
        <w:tc>
          <w:tcPr>
            <w:tcW w:w="1190" w:type="dxa"/>
            <w:tcBorders>
              <w:top w:val="nil"/>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sz w:val="20"/>
                <w:szCs w:val="20"/>
              </w:rPr>
              <w:t>Left side</w:t>
            </w:r>
          </w:p>
        </w:tc>
        <w:tc>
          <w:tcPr>
            <w:tcW w:w="2296"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3 (3.2)</w:t>
            </w:r>
          </w:p>
        </w:tc>
        <w:tc>
          <w:tcPr>
            <w:tcW w:w="2410"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3 (2.9)</w:t>
            </w:r>
          </w:p>
        </w:tc>
        <w:tc>
          <w:tcPr>
            <w:tcW w:w="1245" w:type="dxa"/>
            <w:vMerge/>
            <w:tcBorders>
              <w:lef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p>
        </w:tc>
      </w:tr>
      <w:tr w:rsidR="00CD10B5" w:rsidRPr="00CD10B5" w:rsidTr="007003A1">
        <w:trPr>
          <w:trHeight w:val="332"/>
        </w:trPr>
        <w:tc>
          <w:tcPr>
            <w:tcW w:w="1146" w:type="dxa"/>
            <w:vMerge/>
            <w:tcBorders>
              <w:bottom w:val="nil"/>
              <w:right w:val="nil"/>
            </w:tcBorders>
            <w:shd w:val="clear" w:color="auto" w:fill="auto"/>
            <w:vAlign w:val="center"/>
          </w:tcPr>
          <w:p w:rsidR="00CD10B5" w:rsidRPr="00CD10B5" w:rsidRDefault="00CD10B5" w:rsidP="00CD10B5">
            <w:pPr>
              <w:widowControl/>
              <w:spacing w:after="160" w:line="259" w:lineRule="auto"/>
              <w:ind w:firstLine="0"/>
              <w:jc w:val="both"/>
              <w:rPr>
                <w:rFonts w:ascii="Arial" w:hAnsi="Arial" w:cs="B Nazanin"/>
                <w:sz w:val="22"/>
                <w:szCs w:val="22"/>
                <w:rtl/>
              </w:rPr>
            </w:pPr>
          </w:p>
        </w:tc>
        <w:tc>
          <w:tcPr>
            <w:tcW w:w="1190" w:type="dxa"/>
            <w:tcBorders>
              <w:top w:val="nil"/>
              <w:bottom w:val="nil"/>
              <w:right w:val="nil"/>
            </w:tcBorders>
            <w:shd w:val="clear" w:color="auto" w:fill="auto"/>
            <w:vAlign w:val="center"/>
          </w:tcPr>
          <w:p w:rsidR="00CD10B5" w:rsidRPr="00CD10B5" w:rsidRDefault="00CD10B5" w:rsidP="00CD10B5">
            <w:pPr>
              <w:widowControl/>
              <w:bidi/>
              <w:ind w:firstLine="0"/>
              <w:jc w:val="right"/>
              <w:rPr>
                <w:rFonts w:ascii="Arial" w:hAnsi="Arial" w:cs="B Nazanin"/>
                <w:sz w:val="20"/>
                <w:szCs w:val="20"/>
                <w:rtl/>
              </w:rPr>
            </w:pPr>
            <w:r w:rsidRPr="00CD10B5">
              <w:rPr>
                <w:rFonts w:ascii="Arial" w:hAnsi="Arial" w:cs="B Nazanin"/>
                <w:sz w:val="20"/>
                <w:szCs w:val="20"/>
              </w:rPr>
              <w:t>Both side</w:t>
            </w:r>
          </w:p>
        </w:tc>
        <w:tc>
          <w:tcPr>
            <w:tcW w:w="2296"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1 (1.1)</w:t>
            </w:r>
          </w:p>
        </w:tc>
        <w:tc>
          <w:tcPr>
            <w:tcW w:w="2410" w:type="dxa"/>
            <w:tcBorders>
              <w:top w:val="nil"/>
              <w:left w:val="nil"/>
              <w:bottom w:val="nil"/>
              <w:righ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Pr>
            </w:pPr>
            <w:r w:rsidRPr="00CD10B5">
              <w:rPr>
                <w:rFonts w:ascii="Arial" w:hAnsi="Arial" w:cs="B Nazanin"/>
                <w:sz w:val="20"/>
                <w:szCs w:val="20"/>
              </w:rPr>
              <w:t>1 (0.96)</w:t>
            </w:r>
          </w:p>
        </w:tc>
        <w:tc>
          <w:tcPr>
            <w:tcW w:w="1245" w:type="dxa"/>
            <w:vMerge/>
            <w:tcBorders>
              <w:left w:val="nil"/>
            </w:tcBorders>
            <w:shd w:val="clear" w:color="auto" w:fill="auto"/>
            <w:vAlign w:val="center"/>
          </w:tcPr>
          <w:p w:rsidR="00CD10B5" w:rsidRPr="00CD10B5" w:rsidRDefault="00CD10B5" w:rsidP="00CD10B5">
            <w:pPr>
              <w:widowControl/>
              <w:ind w:firstLine="0"/>
              <w:jc w:val="center"/>
              <w:rPr>
                <w:rFonts w:ascii="Arial" w:hAnsi="Arial" w:cs="B Nazanin"/>
                <w:sz w:val="20"/>
                <w:szCs w:val="20"/>
                <w:rtl/>
              </w:rPr>
            </w:pPr>
          </w:p>
        </w:tc>
      </w:tr>
      <w:tr w:rsidR="00CD10B5" w:rsidRPr="00CD10B5" w:rsidTr="007003A1">
        <w:trPr>
          <w:trHeight w:val="612"/>
        </w:trPr>
        <w:tc>
          <w:tcPr>
            <w:tcW w:w="8287" w:type="dxa"/>
            <w:gridSpan w:val="5"/>
            <w:shd w:val="clear" w:color="auto" w:fill="FBE4D5" w:themeFill="accent2" w:themeFillTint="33"/>
            <w:vAlign w:val="center"/>
          </w:tcPr>
          <w:p w:rsidR="00CD10B5" w:rsidRPr="00CD10B5" w:rsidRDefault="00CD10B5" w:rsidP="00CD10B5">
            <w:pPr>
              <w:widowControl/>
              <w:bidi/>
              <w:spacing w:line="276" w:lineRule="auto"/>
              <w:ind w:firstLine="0"/>
              <w:jc w:val="right"/>
              <w:rPr>
                <w:rFonts w:ascii="Arial" w:hAnsi="Arial" w:cs="B Nazanin"/>
                <w:sz w:val="18"/>
                <w:szCs w:val="18"/>
              </w:rPr>
            </w:pPr>
            <w:r w:rsidRPr="00CD10B5">
              <w:rPr>
                <w:rFonts w:ascii="Arial" w:hAnsi="Arial" w:cs="B Nazanin"/>
                <w:sz w:val="18"/>
                <w:szCs w:val="18"/>
              </w:rPr>
              <w:t>Data are mean ± SD or frequency (%)</w:t>
            </w:r>
          </w:p>
          <w:p w:rsidR="00CD10B5" w:rsidRPr="00CD10B5" w:rsidRDefault="00CD10B5" w:rsidP="00CD10B5">
            <w:pPr>
              <w:widowControl/>
              <w:bidi/>
              <w:spacing w:line="276" w:lineRule="auto"/>
              <w:ind w:firstLine="0"/>
              <w:jc w:val="right"/>
              <w:rPr>
                <w:rFonts w:ascii="Arial" w:hAnsi="Arial" w:cs="B Nazanin"/>
                <w:sz w:val="20"/>
                <w:szCs w:val="20"/>
                <w:rtl/>
              </w:rPr>
            </w:pPr>
            <w:r w:rsidRPr="00CD10B5">
              <w:rPr>
                <w:rFonts w:ascii="Arial" w:hAnsi="Arial" w:cs="B Nazanin"/>
                <w:sz w:val="18"/>
                <w:szCs w:val="18"/>
              </w:rPr>
              <w:t>P-value calculated by independent T-test or Chi square test.</w:t>
            </w:r>
          </w:p>
        </w:tc>
      </w:tr>
    </w:tbl>
    <w:p w:rsidR="00CD10B5" w:rsidRPr="00CD10B5" w:rsidRDefault="00CD10B5" w:rsidP="00CD10B5">
      <w:pPr>
        <w:widowControl/>
        <w:spacing w:after="160" w:line="259" w:lineRule="auto"/>
        <w:ind w:firstLine="0"/>
        <w:jc w:val="left"/>
        <w:rPr>
          <w:rFonts w:asciiTheme="minorHAnsi" w:hAnsiTheme="minorHAnsi" w:cstheme="minorBidi"/>
          <w:sz w:val="22"/>
          <w:szCs w:val="22"/>
          <w:lang w:bidi="fa-IR"/>
        </w:rPr>
      </w:pPr>
    </w:p>
    <w:p w:rsidR="00CD10B5" w:rsidRPr="00CD10B5" w:rsidRDefault="00CD10B5" w:rsidP="00CD10B5">
      <w:pPr>
        <w:widowControl/>
        <w:ind w:firstLine="0"/>
        <w:jc w:val="left"/>
        <w:rPr>
          <w:rFonts w:asciiTheme="minorHAnsi" w:hAnsiTheme="minorHAnsi" w:cstheme="minorBidi"/>
          <w:sz w:val="22"/>
          <w:szCs w:val="22"/>
          <w:rtl/>
          <w:lang w:bidi="fa-IR"/>
        </w:rPr>
      </w:pPr>
    </w:p>
    <w:p w:rsidR="00CD10B5" w:rsidRPr="00CD10B5" w:rsidRDefault="00CD10B5" w:rsidP="00CD10B5">
      <w:pPr>
        <w:widowControl/>
        <w:spacing w:after="160" w:line="259" w:lineRule="auto"/>
        <w:ind w:firstLine="0"/>
        <w:jc w:val="left"/>
        <w:rPr>
          <w:rFonts w:asciiTheme="minorHAnsi" w:hAnsiTheme="minorHAnsi" w:cstheme="minorBidi"/>
          <w:sz w:val="22"/>
          <w:szCs w:val="22"/>
          <w:lang w:bidi="fa-IR"/>
        </w:rPr>
      </w:pPr>
    </w:p>
    <w:p w:rsidR="00CD10B5" w:rsidRPr="00CD10B5" w:rsidRDefault="00CD10B5" w:rsidP="00CD10B5">
      <w:pPr>
        <w:widowControl/>
        <w:spacing w:after="160" w:line="259" w:lineRule="auto"/>
        <w:ind w:firstLine="0"/>
        <w:jc w:val="left"/>
        <w:rPr>
          <w:rFonts w:asciiTheme="minorHAnsi" w:hAnsiTheme="minorHAnsi" w:cstheme="minorBidi"/>
          <w:sz w:val="22"/>
          <w:szCs w:val="22"/>
          <w:lang w:bidi="fa-IR"/>
        </w:rPr>
      </w:pPr>
      <w:r w:rsidRPr="00CD10B5">
        <w:rPr>
          <w:rFonts w:asciiTheme="minorHAnsi" w:hAnsiTheme="minorHAnsi" w:cstheme="minorBidi"/>
          <w:noProof/>
          <w:sz w:val="22"/>
          <w:szCs w:val="22"/>
        </w:rPr>
        <w:drawing>
          <wp:inline distT="0" distB="0" distL="0" distR="0" wp14:anchorId="3E631292" wp14:editId="79CC4F37">
            <wp:extent cx="5575935" cy="3317240"/>
            <wp:effectExtent l="0" t="0" r="571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D10B5" w:rsidRPr="00CD10B5" w:rsidRDefault="00CD10B5" w:rsidP="00CD10B5">
      <w:pPr>
        <w:widowControl/>
        <w:bidi w:val="0"/>
        <w:spacing w:after="160" w:line="259" w:lineRule="auto"/>
        <w:ind w:firstLine="0"/>
        <w:jc w:val="left"/>
        <w:rPr>
          <w:rFonts w:asciiTheme="minorHAnsi" w:hAnsiTheme="minorHAnsi" w:cstheme="minorBidi"/>
          <w:sz w:val="22"/>
          <w:szCs w:val="22"/>
          <w:rtl/>
          <w:lang w:bidi="fa-IR"/>
        </w:rPr>
      </w:pPr>
      <w:r w:rsidRPr="00CD10B5">
        <w:rPr>
          <w:rFonts w:asciiTheme="minorHAnsi" w:hAnsiTheme="minorHAnsi" w:cstheme="minorBidi"/>
          <w:sz w:val="22"/>
          <w:szCs w:val="22"/>
          <w:lang w:bidi="fa-IR"/>
        </w:rPr>
        <w:t xml:space="preserve">Figure 2: Comparison of recovery time between two studied groups of children with congenital obstructive uropathy </w:t>
      </w:r>
    </w:p>
    <w:p w:rsidR="00CD10B5" w:rsidRPr="00CD10B5" w:rsidRDefault="00CD10B5" w:rsidP="00CD10B5">
      <w:pPr>
        <w:widowControl/>
        <w:bidi w:val="0"/>
        <w:spacing w:after="160" w:line="259" w:lineRule="auto"/>
        <w:ind w:firstLine="0"/>
        <w:jc w:val="left"/>
        <w:rPr>
          <w:rFonts w:asciiTheme="minorHAnsi" w:hAnsiTheme="minorHAnsi" w:cstheme="minorBidi"/>
          <w:sz w:val="22"/>
          <w:szCs w:val="22"/>
          <w:lang w:bidi="fa-IR"/>
        </w:rPr>
      </w:pPr>
    </w:p>
    <w:p w:rsidR="00CD10B5" w:rsidRPr="00CD10B5" w:rsidRDefault="00CD10B5" w:rsidP="00CD10B5">
      <w:pPr>
        <w:widowControl/>
        <w:bidi w:val="0"/>
        <w:spacing w:after="160" w:line="259" w:lineRule="auto"/>
        <w:ind w:firstLine="0"/>
        <w:jc w:val="left"/>
        <w:rPr>
          <w:rFonts w:asciiTheme="minorHAnsi" w:hAnsiTheme="minorHAnsi" w:cstheme="minorBidi"/>
          <w:sz w:val="22"/>
          <w:szCs w:val="22"/>
          <w:lang w:bidi="fa-IR"/>
        </w:rPr>
      </w:pPr>
      <w:r w:rsidRPr="00CD10B5">
        <w:rPr>
          <w:rFonts w:asciiTheme="minorHAnsi" w:hAnsiTheme="minorHAnsi" w:cstheme="minorBidi"/>
          <w:noProof/>
          <w:sz w:val="22"/>
          <w:szCs w:val="22"/>
        </w:rPr>
        <w:drawing>
          <wp:inline distT="0" distB="0" distL="0" distR="0" wp14:anchorId="2E07EB91" wp14:editId="00E4D373">
            <wp:extent cx="5575935" cy="3446780"/>
            <wp:effectExtent l="0" t="0" r="571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D10B5" w:rsidRPr="009E0C9C" w:rsidRDefault="00CD10B5" w:rsidP="009E0C9C">
      <w:pPr>
        <w:widowControl/>
        <w:bidi w:val="0"/>
        <w:spacing w:after="160" w:line="259" w:lineRule="auto"/>
        <w:ind w:firstLine="0"/>
        <w:jc w:val="left"/>
        <w:rPr>
          <w:rFonts w:asciiTheme="minorHAnsi" w:hAnsiTheme="minorHAnsi" w:cstheme="minorBidi"/>
          <w:sz w:val="22"/>
          <w:szCs w:val="22"/>
          <w:rtl/>
          <w:lang w:bidi="fa-IR"/>
        </w:rPr>
      </w:pPr>
      <w:r w:rsidRPr="00CD10B5">
        <w:rPr>
          <w:rFonts w:asciiTheme="minorHAnsi" w:hAnsiTheme="minorHAnsi" w:cstheme="minorBidi"/>
          <w:sz w:val="22"/>
          <w:szCs w:val="22"/>
          <w:lang w:bidi="fa-IR"/>
        </w:rPr>
        <w:t xml:space="preserve">Figure 3: Comparison of recurrence of disease between two studied groups of children with congenital obstructive uropathy </w:t>
      </w:r>
    </w:p>
    <w:sectPr w:rsidR="00CD10B5" w:rsidRPr="009E0C9C" w:rsidSect="006E05BD">
      <w:pgSz w:w="11900" w:h="16840"/>
      <w:pgMar w:top="1701" w:right="1701" w:bottom="1418"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Nazanin">
    <w:altName w:val="Courier New"/>
    <w:panose1 w:val="00000500000000000000"/>
    <w:charset w:val="B2"/>
    <w:family w:val="auto"/>
    <w:pitch w:val="variable"/>
    <w:sig w:usb0="00002007"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184"/>
    <w:rsid w:val="0005611A"/>
    <w:rsid w:val="00056925"/>
    <w:rsid w:val="000971BB"/>
    <w:rsid w:val="00263A09"/>
    <w:rsid w:val="005E0526"/>
    <w:rsid w:val="006E05BD"/>
    <w:rsid w:val="0087154C"/>
    <w:rsid w:val="0087770F"/>
    <w:rsid w:val="00945184"/>
    <w:rsid w:val="009C4AC7"/>
    <w:rsid w:val="009D2738"/>
    <w:rsid w:val="009E0C9C"/>
    <w:rsid w:val="00B9218F"/>
    <w:rsid w:val="00BC3903"/>
    <w:rsid w:val="00C4672E"/>
    <w:rsid w:val="00C844D7"/>
    <w:rsid w:val="00CA3404"/>
    <w:rsid w:val="00CD10B5"/>
    <w:rsid w:val="00DF2996"/>
    <w:rsid w:val="00E336EF"/>
    <w:rsid w:val="00E37316"/>
    <w:rsid w:val="00E478A1"/>
    <w:rsid w:val="00E900B5"/>
    <w:rsid w:val="00F21F7C"/>
    <w:rsid w:val="00FE69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9643F-5B9E-4F4E-A8E9-98407327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184"/>
    <w:pPr>
      <w:widowControl w:val="0"/>
      <w:ind w:firstLine="567"/>
      <w:jc w:val="lowKashida"/>
    </w:pPr>
    <w:rPr>
      <w:rFonts w:ascii="Times New Roman" w:hAnsi="Times New Roman" w:cs="Nazani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heading"/>
    <w:basedOn w:val="Normal"/>
    <w:rsid w:val="00945184"/>
    <w:pPr>
      <w:widowControl/>
      <w:bidi w:val="0"/>
      <w:spacing w:before="100" w:beforeAutospacing="1" w:after="100" w:afterAutospacing="1"/>
      <w:ind w:firstLine="0"/>
      <w:jc w:val="left"/>
    </w:pPr>
    <w:rPr>
      <w:rFonts w:eastAsia="Times New Roman" w:cs="Times New Roman"/>
      <w:szCs w:val="24"/>
    </w:rPr>
  </w:style>
  <w:style w:type="character" w:styleId="Strong">
    <w:name w:val="Strong"/>
    <w:basedOn w:val="DefaultParagraphFont"/>
    <w:uiPriority w:val="22"/>
    <w:qFormat/>
    <w:rsid w:val="00945184"/>
    <w:rPr>
      <w:b/>
      <w:bCs/>
    </w:rPr>
  </w:style>
  <w:style w:type="character" w:customStyle="1" w:styleId="hwtze">
    <w:name w:val="hwtze"/>
    <w:basedOn w:val="DefaultParagraphFont"/>
    <w:rsid w:val="00945184"/>
  </w:style>
  <w:style w:type="character" w:customStyle="1" w:styleId="rynqvb">
    <w:name w:val="rynqvb"/>
    <w:basedOn w:val="DefaultParagraphFont"/>
    <w:rsid w:val="00945184"/>
  </w:style>
  <w:style w:type="table" w:customStyle="1" w:styleId="TableGrid1">
    <w:name w:val="Table Grid1"/>
    <w:basedOn w:val="TableNormal"/>
    <w:next w:val="TableGrid"/>
    <w:uiPriority w:val="59"/>
    <w:rsid w:val="00E336EF"/>
    <w:pPr>
      <w:bidi w:val="0"/>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336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D10B5"/>
    <w:pPr>
      <w:bidi w:val="0"/>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056925"/>
    <w:pPr>
      <w:widowControl/>
      <w:ind w:firstLine="0"/>
    </w:pPr>
    <w:rPr>
      <w:rFonts w:eastAsia="Times New Roman" w:cs="Times New Roman"/>
      <w:noProof/>
      <w:sz w:val="20"/>
      <w:lang w:val="x-none" w:eastAsia="x-none"/>
    </w:rPr>
  </w:style>
  <w:style w:type="character" w:customStyle="1" w:styleId="BodyTextChar">
    <w:name w:val="Body Text Char"/>
    <w:basedOn w:val="DefaultParagraphFont"/>
    <w:link w:val="BodyText"/>
    <w:semiHidden/>
    <w:rsid w:val="00056925"/>
    <w:rPr>
      <w:rFonts w:ascii="Times New Roman" w:eastAsia="Times New Roman" w:hAnsi="Times New Roman" w:cs="Times New Roman"/>
      <w:noProof/>
      <w:sz w:val="20"/>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17839">
      <w:bodyDiv w:val="1"/>
      <w:marLeft w:val="0"/>
      <w:marRight w:val="0"/>
      <w:marTop w:val="0"/>
      <w:marBottom w:val="0"/>
      <w:divBdr>
        <w:top w:val="none" w:sz="0" w:space="0" w:color="auto"/>
        <w:left w:val="none" w:sz="0" w:space="0" w:color="auto"/>
        <w:bottom w:val="none" w:sz="0" w:space="0" w:color="auto"/>
        <w:right w:val="none" w:sz="0" w:space="0" w:color="auto"/>
      </w:divBdr>
      <w:divsChild>
        <w:div w:id="1017125010">
          <w:marLeft w:val="0"/>
          <w:marRight w:val="0"/>
          <w:marTop w:val="0"/>
          <w:marBottom w:val="0"/>
          <w:divBdr>
            <w:top w:val="none" w:sz="0" w:space="0" w:color="auto"/>
            <w:left w:val="none" w:sz="0" w:space="0" w:color="auto"/>
            <w:bottom w:val="none" w:sz="0" w:space="0" w:color="auto"/>
            <w:right w:val="none" w:sz="0" w:space="0" w:color="auto"/>
          </w:divBdr>
        </w:div>
      </w:divsChild>
    </w:div>
    <w:div w:id="514613564">
      <w:bodyDiv w:val="1"/>
      <w:marLeft w:val="0"/>
      <w:marRight w:val="0"/>
      <w:marTop w:val="0"/>
      <w:marBottom w:val="0"/>
      <w:divBdr>
        <w:top w:val="none" w:sz="0" w:space="0" w:color="auto"/>
        <w:left w:val="none" w:sz="0" w:space="0" w:color="auto"/>
        <w:bottom w:val="none" w:sz="0" w:space="0" w:color="auto"/>
        <w:right w:val="none" w:sz="0" w:space="0" w:color="auto"/>
      </w:divBdr>
      <w:divsChild>
        <w:div w:id="98913082">
          <w:marLeft w:val="0"/>
          <w:marRight w:val="0"/>
          <w:marTop w:val="0"/>
          <w:marBottom w:val="0"/>
          <w:divBdr>
            <w:top w:val="none" w:sz="0" w:space="0" w:color="auto"/>
            <w:left w:val="none" w:sz="0" w:space="0" w:color="auto"/>
            <w:bottom w:val="none" w:sz="0" w:space="0" w:color="auto"/>
            <w:right w:val="none" w:sz="0" w:space="0" w:color="auto"/>
          </w:divBdr>
        </w:div>
      </w:divsChild>
    </w:div>
    <w:div w:id="769008018">
      <w:bodyDiv w:val="1"/>
      <w:marLeft w:val="0"/>
      <w:marRight w:val="0"/>
      <w:marTop w:val="0"/>
      <w:marBottom w:val="0"/>
      <w:divBdr>
        <w:top w:val="none" w:sz="0" w:space="0" w:color="auto"/>
        <w:left w:val="none" w:sz="0" w:space="0" w:color="auto"/>
        <w:bottom w:val="none" w:sz="0" w:space="0" w:color="auto"/>
        <w:right w:val="none" w:sz="0" w:space="0" w:color="auto"/>
      </w:divBdr>
      <w:divsChild>
        <w:div w:id="376785783">
          <w:marLeft w:val="0"/>
          <w:marRight w:val="0"/>
          <w:marTop w:val="0"/>
          <w:marBottom w:val="0"/>
          <w:divBdr>
            <w:top w:val="none" w:sz="0" w:space="0" w:color="auto"/>
            <w:left w:val="none" w:sz="0" w:space="0" w:color="auto"/>
            <w:bottom w:val="none" w:sz="0" w:space="0" w:color="auto"/>
            <w:right w:val="none" w:sz="0" w:space="0" w:color="auto"/>
          </w:divBdr>
        </w:div>
      </w:divsChild>
    </w:div>
    <w:div w:id="959914029">
      <w:bodyDiv w:val="1"/>
      <w:marLeft w:val="0"/>
      <w:marRight w:val="0"/>
      <w:marTop w:val="0"/>
      <w:marBottom w:val="0"/>
      <w:divBdr>
        <w:top w:val="none" w:sz="0" w:space="0" w:color="auto"/>
        <w:left w:val="none" w:sz="0" w:space="0" w:color="auto"/>
        <w:bottom w:val="none" w:sz="0" w:space="0" w:color="auto"/>
        <w:right w:val="none" w:sz="0" w:space="0" w:color="auto"/>
      </w:divBdr>
    </w:div>
    <w:div w:id="1200052571">
      <w:bodyDiv w:val="1"/>
      <w:marLeft w:val="0"/>
      <w:marRight w:val="0"/>
      <w:marTop w:val="0"/>
      <w:marBottom w:val="0"/>
      <w:divBdr>
        <w:top w:val="none" w:sz="0" w:space="0" w:color="auto"/>
        <w:left w:val="none" w:sz="0" w:space="0" w:color="auto"/>
        <w:bottom w:val="none" w:sz="0" w:space="0" w:color="auto"/>
        <w:right w:val="none" w:sz="0" w:space="0" w:color="auto"/>
      </w:divBdr>
      <w:divsChild>
        <w:div w:id="691686951">
          <w:marLeft w:val="0"/>
          <w:marRight w:val="0"/>
          <w:marTop w:val="0"/>
          <w:marBottom w:val="0"/>
          <w:divBdr>
            <w:top w:val="none" w:sz="0" w:space="0" w:color="auto"/>
            <w:left w:val="none" w:sz="0" w:space="0" w:color="auto"/>
            <w:bottom w:val="none" w:sz="0" w:space="0" w:color="auto"/>
            <w:right w:val="none" w:sz="0" w:space="0" w:color="auto"/>
          </w:divBdr>
        </w:div>
      </w:divsChild>
    </w:div>
    <w:div w:id="1223715700">
      <w:bodyDiv w:val="1"/>
      <w:marLeft w:val="0"/>
      <w:marRight w:val="0"/>
      <w:marTop w:val="0"/>
      <w:marBottom w:val="0"/>
      <w:divBdr>
        <w:top w:val="none" w:sz="0" w:space="0" w:color="auto"/>
        <w:left w:val="none" w:sz="0" w:space="0" w:color="auto"/>
        <w:bottom w:val="none" w:sz="0" w:space="0" w:color="auto"/>
        <w:right w:val="none" w:sz="0" w:space="0" w:color="auto"/>
      </w:divBdr>
      <w:divsChild>
        <w:div w:id="794640370">
          <w:marLeft w:val="0"/>
          <w:marRight w:val="0"/>
          <w:marTop w:val="0"/>
          <w:marBottom w:val="0"/>
          <w:divBdr>
            <w:top w:val="none" w:sz="0" w:space="0" w:color="auto"/>
            <w:left w:val="none" w:sz="0" w:space="0" w:color="auto"/>
            <w:bottom w:val="none" w:sz="0" w:space="0" w:color="auto"/>
            <w:right w:val="none" w:sz="0" w:space="0" w:color="auto"/>
          </w:divBdr>
        </w:div>
      </w:divsChild>
    </w:div>
    <w:div w:id="1248996261">
      <w:bodyDiv w:val="1"/>
      <w:marLeft w:val="0"/>
      <w:marRight w:val="0"/>
      <w:marTop w:val="0"/>
      <w:marBottom w:val="0"/>
      <w:divBdr>
        <w:top w:val="none" w:sz="0" w:space="0" w:color="auto"/>
        <w:left w:val="none" w:sz="0" w:space="0" w:color="auto"/>
        <w:bottom w:val="none" w:sz="0" w:space="0" w:color="auto"/>
        <w:right w:val="none" w:sz="0" w:space="0" w:color="auto"/>
      </w:divBdr>
      <w:divsChild>
        <w:div w:id="1626538686">
          <w:marLeft w:val="0"/>
          <w:marRight w:val="0"/>
          <w:marTop w:val="0"/>
          <w:marBottom w:val="0"/>
          <w:divBdr>
            <w:top w:val="none" w:sz="0" w:space="0" w:color="auto"/>
            <w:left w:val="none" w:sz="0" w:space="0" w:color="auto"/>
            <w:bottom w:val="none" w:sz="0" w:space="0" w:color="auto"/>
            <w:right w:val="none" w:sz="0" w:space="0" w:color="auto"/>
          </w:divBdr>
        </w:div>
      </w:divsChild>
    </w:div>
    <w:div w:id="1519545996">
      <w:bodyDiv w:val="1"/>
      <w:marLeft w:val="0"/>
      <w:marRight w:val="0"/>
      <w:marTop w:val="0"/>
      <w:marBottom w:val="0"/>
      <w:divBdr>
        <w:top w:val="none" w:sz="0" w:space="0" w:color="auto"/>
        <w:left w:val="none" w:sz="0" w:space="0" w:color="auto"/>
        <w:bottom w:val="none" w:sz="0" w:space="0" w:color="auto"/>
        <w:right w:val="none" w:sz="0" w:space="0" w:color="auto"/>
      </w:divBdr>
      <w:divsChild>
        <w:div w:id="1293247457">
          <w:marLeft w:val="0"/>
          <w:marRight w:val="0"/>
          <w:marTop w:val="0"/>
          <w:marBottom w:val="0"/>
          <w:divBdr>
            <w:top w:val="none" w:sz="0" w:space="0" w:color="auto"/>
            <w:left w:val="none" w:sz="0" w:space="0" w:color="auto"/>
            <w:bottom w:val="none" w:sz="0" w:space="0" w:color="auto"/>
            <w:right w:val="none" w:sz="0" w:space="0" w:color="auto"/>
          </w:divBdr>
        </w:div>
      </w:divsChild>
    </w:div>
    <w:div w:id="1810785725">
      <w:bodyDiv w:val="1"/>
      <w:marLeft w:val="0"/>
      <w:marRight w:val="0"/>
      <w:marTop w:val="0"/>
      <w:marBottom w:val="0"/>
      <w:divBdr>
        <w:top w:val="none" w:sz="0" w:space="0" w:color="auto"/>
        <w:left w:val="none" w:sz="0" w:space="0" w:color="auto"/>
        <w:bottom w:val="none" w:sz="0" w:space="0" w:color="auto"/>
        <w:right w:val="none" w:sz="0" w:space="0" w:color="auto"/>
      </w:divBdr>
      <w:divsChild>
        <w:div w:id="1936480625">
          <w:marLeft w:val="0"/>
          <w:marRight w:val="0"/>
          <w:marTop w:val="0"/>
          <w:marBottom w:val="0"/>
          <w:divBdr>
            <w:top w:val="none" w:sz="0" w:space="0" w:color="auto"/>
            <w:left w:val="none" w:sz="0" w:space="0" w:color="auto"/>
            <w:bottom w:val="none" w:sz="0" w:space="0" w:color="auto"/>
            <w:right w:val="none" w:sz="0" w:space="0" w:color="auto"/>
          </w:divBdr>
        </w:div>
      </w:divsChild>
    </w:div>
    <w:div w:id="1849516297">
      <w:bodyDiv w:val="1"/>
      <w:marLeft w:val="0"/>
      <w:marRight w:val="0"/>
      <w:marTop w:val="0"/>
      <w:marBottom w:val="0"/>
      <w:divBdr>
        <w:top w:val="none" w:sz="0" w:space="0" w:color="auto"/>
        <w:left w:val="none" w:sz="0" w:space="0" w:color="auto"/>
        <w:bottom w:val="none" w:sz="0" w:space="0" w:color="auto"/>
        <w:right w:val="none" w:sz="0" w:space="0" w:color="auto"/>
      </w:divBdr>
      <w:divsChild>
        <w:div w:id="920723081">
          <w:marLeft w:val="0"/>
          <w:marRight w:val="0"/>
          <w:marTop w:val="0"/>
          <w:marBottom w:val="0"/>
          <w:divBdr>
            <w:top w:val="none" w:sz="0" w:space="0" w:color="auto"/>
            <w:left w:val="none" w:sz="0" w:space="0" w:color="auto"/>
            <w:bottom w:val="none" w:sz="0" w:space="0" w:color="auto"/>
            <w:right w:val="none" w:sz="0" w:space="0" w:color="auto"/>
          </w:divBdr>
        </w:div>
      </w:divsChild>
    </w:div>
    <w:div w:id="1994025508">
      <w:bodyDiv w:val="1"/>
      <w:marLeft w:val="0"/>
      <w:marRight w:val="0"/>
      <w:marTop w:val="0"/>
      <w:marBottom w:val="0"/>
      <w:divBdr>
        <w:top w:val="none" w:sz="0" w:space="0" w:color="auto"/>
        <w:left w:val="none" w:sz="0" w:space="0" w:color="auto"/>
        <w:bottom w:val="none" w:sz="0" w:space="0" w:color="auto"/>
        <w:right w:val="none" w:sz="0" w:space="0" w:color="auto"/>
      </w:divBdr>
    </w:div>
    <w:div w:id="2054309709">
      <w:bodyDiv w:val="1"/>
      <w:marLeft w:val="0"/>
      <w:marRight w:val="0"/>
      <w:marTop w:val="0"/>
      <w:marBottom w:val="0"/>
      <w:divBdr>
        <w:top w:val="none" w:sz="0" w:space="0" w:color="auto"/>
        <w:left w:val="none" w:sz="0" w:space="0" w:color="auto"/>
        <w:bottom w:val="none" w:sz="0" w:space="0" w:color="auto"/>
        <w:right w:val="none" w:sz="0" w:space="0" w:color="auto"/>
      </w:divBdr>
      <w:divsChild>
        <w:div w:id="1106772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Dell\Desktop\Dr%20Kalvandi%20Article%202\chart1%20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C:\Users\Dell\Desktop\Dr%20Kalvandi%20Article%202\chart1%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'مدت بهبودی انگلیسی'!$B$3</c:f>
              <c:strCache>
                <c:ptCount val="1"/>
                <c:pt idx="0">
                  <c:v>Recovery Time</c:v>
                </c:pt>
              </c:strCache>
            </c:strRef>
          </c:tx>
          <c:spPr>
            <a:ln w="28575" cap="rnd">
              <a:noFill/>
              <a:round/>
            </a:ln>
            <a:effectLst/>
          </c:spPr>
          <c:marker>
            <c:symbol val="circle"/>
            <c:size val="6"/>
            <c:spPr>
              <a:solidFill>
                <a:srgbClr val="0070C0"/>
              </a:solidFill>
              <a:ln w="9525">
                <a:solidFill>
                  <a:schemeClr val="accent5">
                    <a:lumMod val="75000"/>
                  </a:schemeClr>
                </a:solidFill>
              </a:ln>
              <a:effectLst/>
            </c:spPr>
          </c:marker>
          <c:dPt>
            <c:idx val="0"/>
            <c:marker>
              <c:symbol val="circle"/>
              <c:size val="6"/>
              <c:spPr>
                <a:solidFill>
                  <a:srgbClr val="FF0000"/>
                </a:solidFill>
                <a:ln w="9525">
                  <a:solidFill>
                    <a:srgbClr val="FF0000"/>
                  </a:solidFill>
                </a:ln>
                <a:effectLst/>
              </c:spPr>
            </c:marker>
            <c:bubble3D val="0"/>
            <c:extLst xmlns:c16r2="http://schemas.microsoft.com/office/drawing/2015/06/chart">
              <c:ext xmlns:c16="http://schemas.microsoft.com/office/drawing/2014/chart" uri="{C3380CC4-5D6E-409C-BE32-E72D297353CC}">
                <c16:uniqueId val="{00000000-1215-4F43-9140-86A86ABCD324}"/>
              </c:ext>
            </c:extLst>
          </c:dPt>
          <c:errBars>
            <c:errDir val="y"/>
            <c:errBarType val="both"/>
            <c:errValType val="cust"/>
            <c:noEndCap val="0"/>
            <c:plus>
              <c:numRef>
                <c:f>'مدت بهبودی انگلیسی'!$C$5:$H$5</c:f>
                <c:numCache>
                  <c:formatCode>General</c:formatCode>
                  <c:ptCount val="6"/>
                  <c:pt idx="0">
                    <c:v>8.4</c:v>
                  </c:pt>
                  <c:pt idx="1">
                    <c:v>8.8000000000000007</c:v>
                  </c:pt>
                </c:numCache>
              </c:numRef>
            </c:plus>
            <c:minus>
              <c:numRef>
                <c:f>'مدت بهبودی انگلیسی'!$C$5:$H$5</c:f>
                <c:numCache>
                  <c:formatCode>General</c:formatCode>
                  <c:ptCount val="6"/>
                  <c:pt idx="0">
                    <c:v>8.4</c:v>
                  </c:pt>
                  <c:pt idx="1">
                    <c:v>8.8000000000000007</c:v>
                  </c:pt>
                </c:numCache>
              </c:numRef>
            </c:minus>
            <c:spPr>
              <a:noFill/>
              <a:ln w="15875" cap="flat" cmpd="sng" algn="ctr">
                <a:solidFill>
                  <a:srgbClr val="0070C0"/>
                </a:solidFill>
                <a:round/>
              </a:ln>
              <a:effectLst/>
            </c:spPr>
          </c:errBars>
          <c:cat>
            <c:strRef>
              <c:f>'مدت بهبودی انگلیسی'!$C$2:$D$2</c:f>
              <c:strCache>
                <c:ptCount val="2"/>
                <c:pt idx="0">
                  <c:v>Antibiotic group </c:v>
                </c:pt>
                <c:pt idx="1">
                  <c:v>Probiotic group </c:v>
                </c:pt>
              </c:strCache>
            </c:strRef>
          </c:cat>
          <c:val>
            <c:numRef>
              <c:f>'مدت بهبودی انگلیسی'!$C$3:$D$3</c:f>
              <c:numCache>
                <c:formatCode>0.0</c:formatCode>
                <c:ptCount val="2"/>
                <c:pt idx="0">
                  <c:v>16.100000000000001</c:v>
                </c:pt>
                <c:pt idx="1">
                  <c:v>13.6</c:v>
                </c:pt>
              </c:numCache>
            </c:numRef>
          </c:val>
          <c:smooth val="0"/>
          <c:extLst xmlns:c16r2="http://schemas.microsoft.com/office/drawing/2015/06/chart">
            <c:ext xmlns:c16="http://schemas.microsoft.com/office/drawing/2014/chart" uri="{C3380CC4-5D6E-409C-BE32-E72D297353CC}">
              <c16:uniqueId val="{00000001-1215-4F43-9140-86A86ABCD324}"/>
            </c:ext>
          </c:extLst>
        </c:ser>
        <c:dLbls>
          <c:showLegendKey val="0"/>
          <c:showVal val="0"/>
          <c:showCatName val="0"/>
          <c:showSerName val="0"/>
          <c:showPercent val="0"/>
          <c:showBubbleSize val="0"/>
        </c:dLbls>
        <c:marker val="1"/>
        <c:smooth val="0"/>
        <c:axId val="313577448"/>
        <c:axId val="313579016"/>
      </c:lineChart>
      <c:catAx>
        <c:axId val="313577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579016"/>
        <c:crosses val="autoZero"/>
        <c:auto val="1"/>
        <c:lblAlgn val="ctr"/>
        <c:lblOffset val="100"/>
        <c:noMultiLvlLbl val="0"/>
      </c:catAx>
      <c:valAx>
        <c:axId val="313579016"/>
        <c:scaling>
          <c:orientation val="minMax"/>
          <c:max val="5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B Nazanin" panose="00000400000000000000" pitchFamily="2" charset="-78"/>
                  </a:defRPr>
                </a:pPr>
                <a:r>
                  <a:rPr lang="en-US" b="1">
                    <a:cs typeface="B Nazanin" panose="00000400000000000000" pitchFamily="2" charset="-78"/>
                  </a:rPr>
                  <a:t>Time (month) </a:t>
                </a:r>
              </a:p>
            </c:rich>
          </c:tx>
          <c:layout>
            <c:manualLayout>
              <c:xMode val="edge"/>
              <c:yMode val="edge"/>
              <c:x val="5.3389541691903894E-2"/>
              <c:y val="0.3349521271989399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title>
        <c:numFmt formatCode="0" sourceLinked="0"/>
        <c:majorTickMark val="none"/>
        <c:minorTickMark val="none"/>
        <c:tickLblPos val="nextTo"/>
        <c:spPr>
          <a:noFill/>
          <a:ln>
            <a:solidFill>
              <a:schemeClr val="tx1">
                <a:lumMod val="85000"/>
                <a:lumOff val="1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577448"/>
        <c:crosses val="autoZero"/>
        <c:crossBetween val="between"/>
      </c:valAx>
      <c:dTable>
        <c:showHorzBorder val="1"/>
        <c:showVertBorder val="1"/>
        <c:showOutline val="1"/>
        <c:showKeys val="1"/>
        <c:spPr>
          <a:noFill/>
          <a:ln w="9525" cap="flat" cmpd="sng" algn="ctr">
            <a:solidFill>
              <a:schemeClr val="bg2">
                <a:lumMod val="7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15383964101262"/>
          <c:y val="6.8703945654387158E-2"/>
          <c:w val="0.77690934653749855"/>
          <c:h val="0.78943036623004115"/>
        </c:manualLayout>
      </c:layout>
      <c:barChart>
        <c:barDir val="col"/>
        <c:grouping val="clustered"/>
        <c:varyColors val="0"/>
        <c:ser>
          <c:idx val="0"/>
          <c:order val="0"/>
          <c:tx>
            <c:strRef>
              <c:f>'عود انگلیسی'!$B$3</c:f>
              <c:strCache>
                <c:ptCount val="1"/>
                <c:pt idx="0">
                  <c:v>Recurrence</c:v>
                </c:pt>
              </c:strCache>
            </c:strRef>
          </c:tx>
          <c:spPr>
            <a:pattFill prst="pct30">
              <a:fgClr>
                <a:schemeClr val="accent2">
                  <a:lumMod val="75000"/>
                </a:schemeClr>
              </a:fgClr>
              <a:bgClr>
                <a:schemeClr val="bg1"/>
              </a:bgClr>
            </a:pattFill>
            <a:ln>
              <a:solidFill>
                <a:schemeClr val="tx1">
                  <a:lumMod val="50000"/>
                  <a:lumOff val="50000"/>
                </a:schemeClr>
              </a:solidFill>
            </a:ln>
            <a:effectLst/>
          </c:spPr>
          <c:invertIfNegative val="0"/>
          <c:dPt>
            <c:idx val="0"/>
            <c:invertIfNegative val="0"/>
            <c:bubble3D val="0"/>
            <c:spPr>
              <a:pattFill prst="lgCheck">
                <a:fgClr>
                  <a:srgbClr val="92D050"/>
                </a:fgClr>
                <a:bgClr>
                  <a:schemeClr val="bg1"/>
                </a:bgClr>
              </a:pattFill>
              <a:ln>
                <a:solidFill>
                  <a:schemeClr val="tx1">
                    <a:lumMod val="50000"/>
                    <a:lumOff val="50000"/>
                  </a:schemeClr>
                </a:solidFill>
              </a:ln>
              <a:effectLst/>
            </c:spPr>
            <c:extLst xmlns:c16r2="http://schemas.microsoft.com/office/drawing/2015/06/chart">
              <c:ext xmlns:c16="http://schemas.microsoft.com/office/drawing/2014/chart" uri="{C3380CC4-5D6E-409C-BE32-E72D297353CC}">
                <c16:uniqueId val="{00000001-DEB3-4790-9E6F-92521308C154}"/>
              </c:ext>
            </c:extLst>
          </c:dPt>
          <c:dPt>
            <c:idx val="1"/>
            <c:invertIfNegative val="0"/>
            <c:bubble3D val="0"/>
            <c:spPr>
              <a:pattFill prst="dkVert">
                <a:fgClr>
                  <a:schemeClr val="accent3">
                    <a:lumMod val="75000"/>
                  </a:schemeClr>
                </a:fgClr>
                <a:bgClr>
                  <a:schemeClr val="bg1"/>
                </a:bgClr>
              </a:pattFill>
              <a:ln>
                <a:solidFill>
                  <a:schemeClr val="tx1">
                    <a:lumMod val="50000"/>
                    <a:lumOff val="50000"/>
                  </a:schemeClr>
                </a:solidFill>
              </a:ln>
              <a:effectLst/>
            </c:spPr>
            <c:extLst xmlns:c16r2="http://schemas.microsoft.com/office/drawing/2015/06/chart">
              <c:ext xmlns:c16="http://schemas.microsoft.com/office/drawing/2014/chart" uri="{C3380CC4-5D6E-409C-BE32-E72D297353CC}">
                <c16:uniqueId val="{00000003-DEB3-4790-9E6F-92521308C154}"/>
              </c:ext>
            </c:extLst>
          </c:dPt>
          <c:errBars>
            <c:errBarType val="plus"/>
            <c:errValType val="cust"/>
            <c:noEndCap val="0"/>
            <c:plus>
              <c:numRef>
                <c:f>'عود انگلیسی'!$C$5:$E$5</c:f>
                <c:numCache>
                  <c:formatCode>General</c:formatCode>
                  <c:ptCount val="3"/>
                </c:numCache>
              </c:numRef>
            </c:plus>
            <c:minus>
              <c:numRef>
                <c:f>'عود انگلیسی'!$C$5:$D$5</c:f>
                <c:numCache>
                  <c:formatCode>General</c:formatCode>
                  <c:ptCount val="2"/>
                </c:numCache>
              </c:numRef>
            </c:minus>
            <c:spPr>
              <a:noFill/>
              <a:ln w="9525" cap="flat" cmpd="sng" algn="ctr">
                <a:solidFill>
                  <a:schemeClr val="tx1">
                    <a:lumMod val="65000"/>
                    <a:lumOff val="35000"/>
                  </a:schemeClr>
                </a:solidFill>
                <a:round/>
              </a:ln>
              <a:effectLst/>
            </c:spPr>
          </c:errBars>
          <c:cat>
            <c:strRef>
              <c:f>'عود انگلیسی'!$C$2:$D$2</c:f>
              <c:strCache>
                <c:ptCount val="2"/>
                <c:pt idx="0">
                  <c:v>Antibiotic group </c:v>
                </c:pt>
                <c:pt idx="1">
                  <c:v>Probiotic group </c:v>
                </c:pt>
              </c:strCache>
            </c:strRef>
          </c:cat>
          <c:val>
            <c:numRef>
              <c:f>'عود انگلیسی'!$C$3:$D$3</c:f>
              <c:numCache>
                <c:formatCode>0.0</c:formatCode>
                <c:ptCount val="2"/>
                <c:pt idx="0">
                  <c:v>12.6</c:v>
                </c:pt>
                <c:pt idx="1">
                  <c:v>5.8</c:v>
                </c:pt>
              </c:numCache>
            </c:numRef>
          </c:val>
          <c:extLst xmlns:c16r2="http://schemas.microsoft.com/office/drawing/2015/06/chart">
            <c:ext xmlns:c16="http://schemas.microsoft.com/office/drawing/2014/chart" uri="{C3380CC4-5D6E-409C-BE32-E72D297353CC}">
              <c16:uniqueId val="{00000004-DEB3-4790-9E6F-92521308C154}"/>
            </c:ext>
          </c:extLst>
        </c:ser>
        <c:dLbls>
          <c:showLegendKey val="0"/>
          <c:showVal val="0"/>
          <c:showCatName val="0"/>
          <c:showSerName val="0"/>
          <c:showPercent val="0"/>
          <c:showBubbleSize val="0"/>
        </c:dLbls>
        <c:gapWidth val="95"/>
        <c:axId val="315446808"/>
        <c:axId val="213315256"/>
      </c:barChart>
      <c:catAx>
        <c:axId val="315446808"/>
        <c:scaling>
          <c:orientation val="minMax"/>
        </c:scaling>
        <c:delete val="0"/>
        <c:axPos val="b"/>
        <c:numFmt formatCode="General" sourceLinked="1"/>
        <c:majorTickMark val="none"/>
        <c:minorTickMark val="none"/>
        <c:tickLblPos val="nextTo"/>
        <c:spPr>
          <a:solidFill>
            <a:schemeClr val="bg2">
              <a:lumMod val="50000"/>
            </a:schemeClr>
          </a:solid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315256"/>
        <c:crosses val="autoZero"/>
        <c:auto val="1"/>
        <c:lblAlgn val="ctr"/>
        <c:lblOffset val="100"/>
        <c:noMultiLvlLbl val="0"/>
      </c:catAx>
      <c:valAx>
        <c:axId val="213315256"/>
        <c:scaling>
          <c:orientation val="minMax"/>
          <c:max val="100"/>
          <c:min val="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B Nazanin" panose="00000400000000000000" pitchFamily="2" charset="-78"/>
                  </a:defRPr>
                </a:pPr>
                <a:r>
                  <a:rPr lang="en-US" sz="1000" b="1" i="0" u="none" strike="noStrike" baseline="0">
                    <a:effectLst/>
                    <a:cs typeface="B Nazanin" panose="00000400000000000000" pitchFamily="2" charset="-78"/>
                  </a:rPr>
                  <a:t>Percent</a:t>
                </a:r>
                <a:endParaRPr lang="en-US" b="1">
                  <a:cs typeface="B Nazanin" panose="00000400000000000000" pitchFamily="2" charset="-78"/>
                </a:endParaRPr>
              </a:p>
            </c:rich>
          </c:tx>
          <c:layout>
            <c:manualLayout>
              <c:xMode val="edge"/>
              <c:yMode val="edge"/>
              <c:x val="3.5634101536348183E-2"/>
              <c:y val="0.4009201820913988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title>
        <c:numFmt formatCode="0" sourceLinked="0"/>
        <c:majorTickMark val="none"/>
        <c:minorTickMark val="none"/>
        <c:tickLblPos val="nextTo"/>
        <c:spPr>
          <a:noFill/>
          <a:ln>
            <a:solidFill>
              <a:schemeClr val="tx1">
                <a:lumMod val="85000"/>
                <a:lumOff val="1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446808"/>
        <c:crosses val="autoZero"/>
        <c:crossBetween val="between"/>
      </c:valAx>
      <c:dTable>
        <c:showHorzBorder val="1"/>
        <c:showVertBorder val="1"/>
        <c:showOutline val="1"/>
        <c:showKeys val="1"/>
        <c:spPr>
          <a:noFill/>
          <a:ln w="9525" cap="flat" cmpd="sng" algn="ctr">
            <a:solidFill>
              <a:schemeClr val="bg2">
                <a:lumMod val="7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B Nazanin" panose="00000400000000000000" pitchFamily="2" charset="-78"/>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0.42689</cdr:x>
      <cdr:y>0.31639</cdr:y>
    </cdr:from>
    <cdr:to>
      <cdr:x>0.74958</cdr:x>
      <cdr:y>0.42091</cdr:y>
    </cdr:to>
    <cdr:grpSp>
      <cdr:nvGrpSpPr>
        <cdr:cNvPr id="5" name="Group 4"/>
        <cdr:cNvGrpSpPr/>
      </cdr:nvGrpSpPr>
      <cdr:grpSpPr>
        <a:xfrm xmlns:a="http://schemas.openxmlformats.org/drawingml/2006/main">
          <a:off x="2419342" y="1066806"/>
          <a:ext cx="1828806" cy="352426"/>
          <a:chOff x="2286000" y="1114427"/>
          <a:chExt cx="1828800" cy="352425"/>
        </a:xfrm>
      </cdr:grpSpPr>
      <cdr:cxnSp macro="">
        <cdr:nvCxnSpPr>
          <cdr:cNvPr id="3" name="Straight Arrow Connector 2"/>
          <cdr:cNvCxnSpPr/>
        </cdr:nvCxnSpPr>
        <cdr:spPr>
          <a:xfrm xmlns:a="http://schemas.openxmlformats.org/drawingml/2006/main">
            <a:off x="2286000" y="1457327"/>
            <a:ext cx="1828800" cy="9525"/>
          </a:xfrm>
          <a:prstGeom xmlns:a="http://schemas.openxmlformats.org/drawingml/2006/main" prst="straightConnector1">
            <a:avLst/>
          </a:prstGeom>
          <a:ln xmlns:a="http://schemas.openxmlformats.org/drawingml/2006/main">
            <a:solidFill>
              <a:schemeClr val="tx1"/>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sp macro="" textlink="">
        <cdr:nvSpPr>
          <cdr:cNvPr id="4" name="Rectangle 3"/>
          <cdr:cNvSpPr/>
        </cdr:nvSpPr>
        <cdr:spPr>
          <a:xfrm xmlns:a="http://schemas.openxmlformats.org/drawingml/2006/main">
            <a:off x="2562225" y="1114427"/>
            <a:ext cx="1266825" cy="3238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nchor="ctr"/>
          <a:lstStyle xmlns:a="http://schemas.openxmlformats.org/drawingml/2006/main"/>
          <a:p xmlns:a="http://schemas.openxmlformats.org/drawingml/2006/main">
            <a:pPr algn="ctr"/>
            <a:r>
              <a:rPr lang="en-US" b="1">
                <a:solidFill>
                  <a:sysClr val="windowText" lastClr="000000"/>
                </a:solidFill>
              </a:rPr>
              <a:t>P-value = 0.045</a:t>
            </a:r>
          </a:p>
        </cdr:txBody>
      </cdr:sp>
    </cdr:grpSp>
  </cdr:relSizeAnchor>
</c:userShapes>
</file>

<file path=word/drawings/drawing2.xml><?xml version="1.0" encoding="utf-8"?>
<c:userShapes xmlns:c="http://schemas.openxmlformats.org/drawingml/2006/chart">
  <cdr:relSizeAnchor xmlns:cdr="http://schemas.openxmlformats.org/drawingml/2006/chartDrawing">
    <cdr:from>
      <cdr:x>0.38898</cdr:x>
      <cdr:y>0.56403</cdr:y>
    </cdr:from>
    <cdr:to>
      <cdr:x>0.70634</cdr:x>
      <cdr:y>0.6614</cdr:y>
    </cdr:to>
    <cdr:grpSp>
      <cdr:nvGrpSpPr>
        <cdr:cNvPr id="2" name="Group 1"/>
        <cdr:cNvGrpSpPr/>
      </cdr:nvGrpSpPr>
      <cdr:grpSpPr>
        <a:xfrm xmlns:a="http://schemas.openxmlformats.org/drawingml/2006/main">
          <a:off x="2241541" y="2009273"/>
          <a:ext cx="1828827" cy="346866"/>
          <a:chOff x="0" y="0"/>
          <a:chExt cx="1828800" cy="352425"/>
        </a:xfrm>
      </cdr:grpSpPr>
      <cdr:cxnSp macro="">
        <cdr:nvCxnSpPr>
          <cdr:cNvPr id="3" name="Straight Arrow Connector 2"/>
          <cdr:cNvCxnSpPr/>
        </cdr:nvCxnSpPr>
        <cdr:spPr>
          <a:xfrm xmlns:a="http://schemas.openxmlformats.org/drawingml/2006/main">
            <a:off x="0" y="342900"/>
            <a:ext cx="1828800" cy="9525"/>
          </a:xfrm>
          <a:prstGeom xmlns:a="http://schemas.openxmlformats.org/drawingml/2006/main" prst="straightConnector1">
            <a:avLst/>
          </a:prstGeom>
          <a:ln xmlns:a="http://schemas.openxmlformats.org/drawingml/2006/main">
            <a:solidFill>
              <a:schemeClr val="tx1"/>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sp macro="" textlink="">
        <cdr:nvSpPr>
          <cdr:cNvPr id="4" name="Rectangle 3"/>
          <cdr:cNvSpPr/>
        </cdr:nvSpPr>
        <cdr:spPr>
          <a:xfrm xmlns:a="http://schemas.openxmlformats.org/drawingml/2006/main">
            <a:off x="276225" y="0"/>
            <a:ext cx="1266825" cy="3238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b="1">
                <a:solidFill>
                  <a:sysClr val="windowText" lastClr="000000"/>
                </a:solidFill>
              </a:rPr>
              <a:t>P-value = 0.092</a:t>
            </a:r>
          </a:p>
        </cdr:txBody>
      </cdr: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155</TotalTime>
  <Pages>6</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cp:lastModifiedBy>
  <cp:revision>4</cp:revision>
  <dcterms:created xsi:type="dcterms:W3CDTF">2025-10-05T04:40:00Z</dcterms:created>
  <dcterms:modified xsi:type="dcterms:W3CDTF">2025-10-05T07:15:00Z</dcterms:modified>
</cp:coreProperties>
</file>